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webSettings.xml" ContentType="application/vnd.openxmlformats-officedocument.wordprocessingml.webSettings+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1C2FC" w14:textId="77777777" w:rsidR="00A55A9B" w:rsidRPr="00A55A9B" w:rsidRDefault="00A55A9B" w:rsidP="00A55A9B">
      <w:pPr>
        <w:spacing w:after="240" w:line="260" w:lineRule="atLeast"/>
        <w:jc w:val="center"/>
        <w:rPr>
          <w:rFonts w:ascii="Georgia" w:eastAsia="Times New Roman" w:hAnsi="Georgia" w:cs="Times New Roman"/>
          <w:b/>
          <w:bCs/>
          <w:smallCaps/>
          <w:sz w:val="20"/>
          <w:szCs w:val="20"/>
          <w:lang w:val="fr-FR" w:eastAsia="fr-FR"/>
        </w:rPr>
      </w:pPr>
      <w:r w:rsidRPr="00A55A9B">
        <w:rPr>
          <w:rFonts w:ascii="Georgia" w:eastAsia="Times New Roman" w:hAnsi="Georgia" w:cs="Times New Roman"/>
          <w:b/>
          <w:bCs/>
          <w:smallCaps/>
          <w:sz w:val="20"/>
          <w:szCs w:val="20"/>
          <w:lang w:val="fr-FR" w:eastAsia="fr-FR"/>
        </w:rPr>
        <w:t>Advicenne</w:t>
      </w:r>
    </w:p>
    <w:p w14:paraId="5C723B5A" w14:textId="77777777" w:rsidR="00A55A9B" w:rsidRPr="00A55A9B" w:rsidRDefault="00A55A9B" w:rsidP="00A55A9B">
      <w:pPr>
        <w:spacing w:after="0" w:line="260" w:lineRule="atLeast"/>
        <w:jc w:val="center"/>
        <w:rPr>
          <w:rFonts w:ascii="Georgia" w:eastAsia="Times New Roman" w:hAnsi="Georgia" w:cs="Times New Roman"/>
          <w:sz w:val="20"/>
          <w:szCs w:val="20"/>
          <w:lang w:val="fr-FR" w:eastAsia="fr-FR"/>
        </w:rPr>
      </w:pPr>
      <w:r w:rsidRPr="00A55A9B">
        <w:rPr>
          <w:rFonts w:ascii="Georgia" w:eastAsia="Times New Roman" w:hAnsi="Georgia" w:cs="Times New Roman"/>
          <w:sz w:val="20"/>
          <w:szCs w:val="20"/>
          <w:lang w:val="fr-FR" w:eastAsia="fr-FR"/>
        </w:rPr>
        <w:t>Société anonyme au capital de 1.991.430,20</w:t>
      </w:r>
      <w:r w:rsidRPr="00A55A9B">
        <w:rPr>
          <w:rFonts w:ascii="Georgia" w:eastAsia="Times New Roman" w:hAnsi="Georgia" w:cs="Times New Roman"/>
          <w:i/>
          <w:iCs/>
          <w:sz w:val="20"/>
          <w:szCs w:val="20"/>
          <w:lang w:val="fr-FR" w:eastAsia="fr-FR"/>
        </w:rPr>
        <w:t xml:space="preserve"> </w:t>
      </w:r>
      <w:r w:rsidRPr="00A55A9B">
        <w:rPr>
          <w:rFonts w:ascii="Georgia" w:eastAsia="Times New Roman" w:hAnsi="Georgia" w:cs="Times New Roman"/>
          <w:sz w:val="20"/>
          <w:szCs w:val="20"/>
          <w:lang w:val="fr-FR" w:eastAsia="fr-FR"/>
        </w:rPr>
        <w:t>euros</w:t>
      </w:r>
    </w:p>
    <w:p w14:paraId="255BC4A3" w14:textId="77777777" w:rsidR="00A55A9B" w:rsidRPr="00A55A9B" w:rsidRDefault="00A55A9B" w:rsidP="00A55A9B">
      <w:pPr>
        <w:spacing w:after="0" w:line="260" w:lineRule="atLeast"/>
        <w:jc w:val="center"/>
        <w:rPr>
          <w:rFonts w:ascii="Georgia" w:eastAsia="Times New Roman" w:hAnsi="Georgia" w:cs="Times New Roman"/>
          <w:sz w:val="20"/>
          <w:szCs w:val="20"/>
          <w:lang w:val="fr-FR" w:eastAsia="fr-FR"/>
        </w:rPr>
      </w:pPr>
      <w:r w:rsidRPr="00A55A9B">
        <w:rPr>
          <w:rFonts w:ascii="Georgia" w:eastAsia="Times New Roman" w:hAnsi="Georgia" w:cs="Times New Roman"/>
          <w:sz w:val="20"/>
          <w:szCs w:val="20"/>
          <w:lang w:val="fr-FR" w:eastAsia="fr-FR"/>
        </w:rPr>
        <w:t>Siège social :262 rue du Faubourg Saint Honoré 75008 Paris</w:t>
      </w:r>
    </w:p>
    <w:p w14:paraId="4C936BFE" w14:textId="77777777" w:rsidR="00A55A9B" w:rsidRPr="00A55A9B" w:rsidRDefault="00A55A9B" w:rsidP="00A55A9B">
      <w:pPr>
        <w:spacing w:after="0" w:line="260" w:lineRule="atLeast"/>
        <w:jc w:val="center"/>
        <w:rPr>
          <w:rFonts w:ascii="Georgia" w:eastAsia="DFKai-SB" w:hAnsi="Georgia" w:cs="Times New Roman"/>
          <w:color w:val="000000"/>
          <w:sz w:val="20"/>
          <w:szCs w:val="20"/>
          <w:lang w:val="fr-FR" w:eastAsia="fr-FR"/>
        </w:rPr>
      </w:pPr>
      <w:r w:rsidRPr="00A55A9B">
        <w:rPr>
          <w:rFonts w:ascii="Georgia" w:eastAsia="Times New Roman" w:hAnsi="Georgia" w:cs="Times New Roman"/>
          <w:sz w:val="20"/>
          <w:szCs w:val="20"/>
          <w:lang w:val="fr-FR" w:eastAsia="fr-FR"/>
        </w:rPr>
        <w:t>497 587 089 R.C.S. Paris</w:t>
      </w:r>
    </w:p>
    <w:p w14:paraId="4EA2D3C0" w14:textId="77777777" w:rsidR="00A55A9B" w:rsidRPr="00A55A9B" w:rsidRDefault="00A55A9B" w:rsidP="00A55A9B">
      <w:pPr>
        <w:spacing w:after="0" w:line="260" w:lineRule="atLeast"/>
        <w:jc w:val="center"/>
        <w:rPr>
          <w:rFonts w:ascii="Georgia" w:eastAsia="Times New Roman" w:hAnsi="Georgia" w:cs="Arial"/>
          <w:b/>
          <w:sz w:val="20"/>
          <w:szCs w:val="20"/>
          <w:u w:val="single"/>
          <w:lang w:val="fr-FR" w:eastAsia="fr-FR"/>
        </w:rPr>
      </w:pPr>
    </w:p>
    <w:p w14:paraId="57A25CD7" w14:textId="77777777" w:rsidR="00A55A9B" w:rsidRPr="00A55A9B" w:rsidRDefault="00A55A9B" w:rsidP="00A55A9B">
      <w:pPr>
        <w:spacing w:after="0" w:line="260" w:lineRule="atLeast"/>
        <w:jc w:val="center"/>
        <w:rPr>
          <w:rFonts w:ascii="Georgia" w:eastAsia="Times New Roman" w:hAnsi="Georgia" w:cs="Arial"/>
          <w:b/>
          <w:sz w:val="20"/>
          <w:szCs w:val="20"/>
          <w:u w:val="single"/>
          <w:lang w:val="fr-FR" w:eastAsia="fr-FR"/>
        </w:rPr>
      </w:pPr>
    </w:p>
    <w:p w14:paraId="0AD09A1F" w14:textId="3976D7CC" w:rsidR="00A55A9B" w:rsidRPr="00A55A9B" w:rsidRDefault="00A55A9B" w:rsidP="00A55A9B">
      <w:pPr>
        <w:spacing w:after="0" w:line="260" w:lineRule="atLeast"/>
        <w:jc w:val="center"/>
        <w:rPr>
          <w:rFonts w:ascii="Georgia" w:eastAsia="Times New Roman" w:hAnsi="Georgia" w:cs="Arial"/>
          <w:b/>
          <w:sz w:val="20"/>
          <w:szCs w:val="20"/>
          <w:u w:val="single"/>
          <w:lang w:val="fr-FR" w:eastAsia="fr-FR"/>
        </w:rPr>
      </w:pPr>
      <w:r w:rsidRPr="00A55A9B">
        <w:rPr>
          <w:rFonts w:ascii="Georgia" w:eastAsia="Times New Roman" w:hAnsi="Georgia" w:cs="Arial"/>
          <w:b/>
          <w:sz w:val="20"/>
          <w:szCs w:val="20"/>
          <w:u w:val="single"/>
          <w:lang w:val="fr-FR" w:eastAsia="fr-FR"/>
        </w:rPr>
        <w:t>RENSEIGNEMENTS RELATIFS A</w:t>
      </w:r>
      <w:r w:rsidR="00FA79FE">
        <w:rPr>
          <w:rFonts w:ascii="Georgia" w:eastAsia="Times New Roman" w:hAnsi="Georgia" w:cs="Arial"/>
          <w:b/>
          <w:sz w:val="20"/>
          <w:szCs w:val="20"/>
          <w:u w:val="single"/>
          <w:lang w:val="fr-FR" w:eastAsia="fr-FR"/>
        </w:rPr>
        <w:t xml:space="preserve">U RENOUVELLEMENT </w:t>
      </w:r>
      <w:r w:rsidRPr="00A55A9B">
        <w:rPr>
          <w:rFonts w:ascii="Georgia" w:eastAsia="Times New Roman" w:hAnsi="Georgia" w:cs="Arial"/>
          <w:b/>
          <w:sz w:val="20"/>
          <w:szCs w:val="20"/>
          <w:u w:val="single"/>
          <w:lang w:val="fr-FR" w:eastAsia="fr-FR"/>
        </w:rPr>
        <w:t xml:space="preserve">DE </w:t>
      </w:r>
      <w:r w:rsidR="001A7F02">
        <w:rPr>
          <w:rFonts w:ascii="Georgia" w:eastAsia="Times New Roman" w:hAnsi="Georgia" w:cs="Arial"/>
          <w:b/>
          <w:sz w:val="20"/>
          <w:szCs w:val="20"/>
          <w:u w:val="single"/>
          <w:lang w:val="fr-FR" w:eastAsia="fr-FR"/>
        </w:rPr>
        <w:t>MADAME CHARLOTTE</w:t>
      </w:r>
      <w:r w:rsidRPr="00A55A9B">
        <w:rPr>
          <w:rFonts w:ascii="Georgia" w:eastAsia="Times New Roman" w:hAnsi="Georgia" w:cs="Arial"/>
          <w:b/>
          <w:sz w:val="20"/>
          <w:szCs w:val="20"/>
          <w:u w:val="single"/>
          <w:lang w:val="fr-FR" w:eastAsia="fr-FR"/>
        </w:rPr>
        <w:t xml:space="preserve"> </w:t>
      </w:r>
      <w:r w:rsidR="001A7F02">
        <w:rPr>
          <w:rFonts w:ascii="Georgia" w:eastAsia="Times New Roman" w:hAnsi="Georgia" w:cs="Arial"/>
          <w:b/>
          <w:sz w:val="20"/>
          <w:szCs w:val="20"/>
          <w:u w:val="single"/>
          <w:lang w:val="fr-FR" w:eastAsia="fr-FR"/>
        </w:rPr>
        <w:t xml:space="preserve">SIBLEY </w:t>
      </w:r>
      <w:r w:rsidRPr="00A55A9B">
        <w:rPr>
          <w:rFonts w:ascii="Georgia" w:eastAsia="Times New Roman" w:hAnsi="Georgia" w:cs="Arial"/>
          <w:b/>
          <w:sz w:val="20"/>
          <w:szCs w:val="20"/>
          <w:u w:val="single"/>
          <w:lang w:val="fr-FR" w:eastAsia="fr-FR"/>
        </w:rPr>
        <w:t xml:space="preserve">AUX FONCTIONS D’ADMINISTRATEUR </w:t>
      </w:r>
    </w:p>
    <w:p w14:paraId="7FB54DF5" w14:textId="77777777" w:rsidR="00A55A9B" w:rsidRPr="00A55A9B" w:rsidRDefault="00A55A9B" w:rsidP="00A55A9B">
      <w:pPr>
        <w:spacing w:after="0" w:line="260" w:lineRule="atLeast"/>
        <w:jc w:val="center"/>
        <w:rPr>
          <w:rFonts w:ascii="Georgia" w:eastAsia="Times New Roman" w:hAnsi="Georgia" w:cs="Arial"/>
          <w:b/>
          <w:sz w:val="20"/>
          <w:szCs w:val="20"/>
          <w:u w:val="single"/>
          <w:lang w:val="fr-FR" w:eastAsia="fr-FR"/>
        </w:rPr>
      </w:pPr>
    </w:p>
    <w:p w14:paraId="697CA0C5" w14:textId="77777777" w:rsidR="00A55A9B" w:rsidRPr="00A55A9B" w:rsidRDefault="00A55A9B" w:rsidP="00A55A9B">
      <w:pPr>
        <w:spacing w:after="0" w:line="260" w:lineRule="atLeast"/>
        <w:jc w:val="center"/>
        <w:rPr>
          <w:rFonts w:ascii="Georgia" w:eastAsia="Times New Roman" w:hAnsi="Georgia" w:cs="Arial"/>
          <w:b/>
          <w:sz w:val="20"/>
          <w:szCs w:val="20"/>
          <w:u w:val="single"/>
          <w:lang w:val="fr-FR" w:eastAsia="fr-FR"/>
        </w:rPr>
      </w:pPr>
      <w:r w:rsidRPr="00A55A9B">
        <w:rPr>
          <w:rFonts w:ascii="Georgia" w:eastAsia="Times New Roman" w:hAnsi="Georgia" w:cs="Arial"/>
          <w:b/>
          <w:sz w:val="20"/>
          <w:szCs w:val="20"/>
          <w:u w:val="single"/>
          <w:lang w:val="fr-FR" w:eastAsia="fr-FR"/>
        </w:rPr>
        <w:t>ASSEMBLEE GENERALE MIXTE DU 8 JUIN 2023</w:t>
      </w:r>
    </w:p>
    <w:p w14:paraId="6D308DA4" w14:textId="77777777" w:rsidR="00A55A9B" w:rsidRPr="00A55A9B" w:rsidRDefault="00A55A9B" w:rsidP="00A55A9B">
      <w:pPr>
        <w:spacing w:after="0" w:line="260" w:lineRule="atLeast"/>
        <w:jc w:val="both"/>
        <w:rPr>
          <w:rFonts w:ascii="Georgia" w:eastAsia="Times New Roman" w:hAnsi="Georgia" w:cs="Arial"/>
          <w:b/>
          <w:sz w:val="20"/>
          <w:szCs w:val="20"/>
          <w:u w:val="single"/>
          <w:lang w:val="fr-FR" w:eastAsia="fr-FR"/>
        </w:rPr>
      </w:pPr>
    </w:p>
    <w:p w14:paraId="7AB6B1E1" w14:textId="77777777" w:rsidR="00A55A9B" w:rsidRPr="00A55A9B" w:rsidRDefault="00A55A9B" w:rsidP="00A55A9B">
      <w:pPr>
        <w:spacing w:after="0" w:line="260" w:lineRule="atLeast"/>
        <w:jc w:val="both"/>
        <w:rPr>
          <w:rFonts w:ascii="Georgia" w:eastAsia="Times New Roman" w:hAnsi="Georgia" w:cs="Arial"/>
          <w:b/>
          <w:sz w:val="20"/>
          <w:szCs w:val="20"/>
          <w:u w:val="single"/>
          <w:lang w:val="fr-FR" w:eastAsia="fr-FR"/>
        </w:rPr>
      </w:pPr>
    </w:p>
    <w:p w14:paraId="4DD2F4C1"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p>
    <w:p w14:paraId="31047F3C"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p>
    <w:p w14:paraId="1491E296" w14:textId="34E402C0" w:rsidR="00A55A9B" w:rsidRPr="00A55A9B" w:rsidRDefault="00A55A9B" w:rsidP="00A55A9B">
      <w:pPr>
        <w:spacing w:after="0" w:line="260" w:lineRule="atLeast"/>
        <w:jc w:val="both"/>
        <w:rPr>
          <w:rFonts w:ascii="Georgia" w:eastAsia="Times New Roman" w:hAnsi="Georgia" w:cs="Arial"/>
          <w:sz w:val="20"/>
          <w:szCs w:val="20"/>
          <w:lang w:val="fr-FR" w:eastAsia="fr-FR"/>
        </w:rPr>
      </w:pPr>
      <w:r w:rsidRPr="00A55A9B">
        <w:rPr>
          <w:rFonts w:ascii="Georgia" w:eastAsia="Times New Roman" w:hAnsi="Georgia" w:cs="Arial"/>
          <w:b/>
          <w:sz w:val="20"/>
          <w:szCs w:val="20"/>
          <w:lang w:val="fr-FR" w:eastAsia="fr-FR"/>
        </w:rPr>
        <w:t>NOM ET PRENOM USUEL</w:t>
      </w:r>
      <w:r w:rsidRPr="00A55A9B">
        <w:rPr>
          <w:rFonts w:ascii="Georgia" w:eastAsia="Times New Roman" w:hAnsi="Georgia" w:cs="Arial"/>
          <w:sz w:val="20"/>
          <w:szCs w:val="20"/>
          <w:lang w:val="fr-FR" w:eastAsia="fr-FR"/>
        </w:rPr>
        <w:t xml:space="preserve"> : </w:t>
      </w:r>
      <w:r w:rsidRPr="00A55A9B">
        <w:rPr>
          <w:rFonts w:ascii="Georgia" w:eastAsia="SimSun" w:hAnsi="Georgia" w:cs="Times New Roman"/>
          <w:b/>
          <w:iCs/>
          <w:sz w:val="20"/>
          <w:szCs w:val="20"/>
          <w:lang w:val="fr-FR" w:eastAsia="zh-CN"/>
        </w:rPr>
        <w:t xml:space="preserve">Madame Charlotte </w:t>
      </w:r>
      <w:r>
        <w:rPr>
          <w:rFonts w:ascii="Georgia" w:eastAsia="SimSun" w:hAnsi="Georgia" w:cs="Times New Roman"/>
          <w:b/>
          <w:iCs/>
          <w:sz w:val="20"/>
          <w:szCs w:val="20"/>
          <w:lang w:val="fr-FR" w:eastAsia="zh-CN"/>
        </w:rPr>
        <w:t>Sibley</w:t>
      </w:r>
    </w:p>
    <w:p w14:paraId="3BAE5A67"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p>
    <w:p w14:paraId="2ACEE6F4" w14:textId="66C45431" w:rsidR="00A55A9B" w:rsidRPr="00A55A9B" w:rsidRDefault="00A55A9B" w:rsidP="00A55A9B">
      <w:pPr>
        <w:spacing w:after="0" w:line="260" w:lineRule="atLeast"/>
        <w:jc w:val="both"/>
        <w:rPr>
          <w:rFonts w:ascii="Georgia" w:eastAsia="Times New Roman" w:hAnsi="Georgia" w:cs="Arial"/>
          <w:sz w:val="20"/>
          <w:szCs w:val="20"/>
          <w:lang w:val="fr-FR" w:eastAsia="fr-FR"/>
        </w:rPr>
      </w:pPr>
      <w:r w:rsidRPr="00A55A9B">
        <w:rPr>
          <w:rFonts w:ascii="Georgia" w:eastAsia="Times New Roman" w:hAnsi="Georgia" w:cs="Arial"/>
          <w:b/>
          <w:sz w:val="20"/>
          <w:szCs w:val="20"/>
          <w:lang w:val="fr-FR" w:eastAsia="fr-FR"/>
        </w:rPr>
        <w:t xml:space="preserve">AGE </w:t>
      </w:r>
      <w:r w:rsidRPr="00A55A9B">
        <w:rPr>
          <w:rFonts w:ascii="Georgia" w:eastAsia="Times New Roman" w:hAnsi="Georgia" w:cs="Arial"/>
          <w:sz w:val="20"/>
          <w:szCs w:val="20"/>
          <w:lang w:val="fr-FR" w:eastAsia="fr-FR"/>
        </w:rPr>
        <w:t>: Né</w:t>
      </w:r>
      <w:r w:rsidR="00FA79FE">
        <w:rPr>
          <w:rFonts w:ascii="Georgia" w:eastAsia="Times New Roman" w:hAnsi="Georgia" w:cs="Arial"/>
          <w:sz w:val="20"/>
          <w:szCs w:val="20"/>
          <w:lang w:val="fr-FR" w:eastAsia="fr-FR"/>
        </w:rPr>
        <w:t>e</w:t>
      </w:r>
      <w:r w:rsidRPr="00A55A9B">
        <w:rPr>
          <w:rFonts w:ascii="Georgia" w:eastAsia="Times New Roman" w:hAnsi="Georgia" w:cs="Arial"/>
          <w:sz w:val="20"/>
          <w:szCs w:val="20"/>
          <w:lang w:val="fr-FR" w:eastAsia="fr-FR"/>
        </w:rPr>
        <w:t xml:space="preserve"> le </w:t>
      </w:r>
      <w:r>
        <w:rPr>
          <w:rFonts w:ascii="Georgia" w:eastAsia="Times New Roman" w:hAnsi="Georgia" w:cs="Arial"/>
          <w:sz w:val="20"/>
          <w:szCs w:val="20"/>
          <w:lang w:val="fr-FR" w:eastAsia="fr-FR"/>
        </w:rPr>
        <w:t>11</w:t>
      </w:r>
      <w:r w:rsidRPr="00A55A9B">
        <w:rPr>
          <w:rFonts w:ascii="Georgia" w:eastAsia="Times New Roman" w:hAnsi="Georgia" w:cs="Arial"/>
          <w:sz w:val="20"/>
          <w:szCs w:val="20"/>
          <w:lang w:val="fr-FR" w:eastAsia="fr-FR"/>
        </w:rPr>
        <w:t>/</w:t>
      </w:r>
      <w:r>
        <w:rPr>
          <w:rFonts w:ascii="Georgia" w:eastAsia="Times New Roman" w:hAnsi="Georgia" w:cs="Arial"/>
          <w:sz w:val="20"/>
          <w:szCs w:val="20"/>
          <w:lang w:val="fr-FR" w:eastAsia="fr-FR"/>
        </w:rPr>
        <w:t>06</w:t>
      </w:r>
      <w:r w:rsidRPr="00A55A9B">
        <w:rPr>
          <w:rFonts w:ascii="Georgia" w:eastAsia="Times New Roman" w:hAnsi="Georgia" w:cs="Arial"/>
          <w:sz w:val="20"/>
          <w:szCs w:val="20"/>
          <w:lang w:val="fr-FR" w:eastAsia="fr-FR"/>
        </w:rPr>
        <w:t>/19</w:t>
      </w:r>
      <w:r>
        <w:rPr>
          <w:rFonts w:ascii="Georgia" w:eastAsia="Times New Roman" w:hAnsi="Georgia" w:cs="Arial"/>
          <w:sz w:val="20"/>
          <w:szCs w:val="20"/>
          <w:lang w:val="fr-FR" w:eastAsia="fr-FR"/>
        </w:rPr>
        <w:t>46</w:t>
      </w:r>
      <w:r w:rsidRPr="00A55A9B">
        <w:rPr>
          <w:rFonts w:ascii="Georgia" w:eastAsia="Times New Roman" w:hAnsi="Georgia" w:cs="Arial"/>
          <w:sz w:val="20"/>
          <w:szCs w:val="20"/>
          <w:lang w:val="fr-FR" w:eastAsia="fr-FR"/>
        </w:rPr>
        <w:t xml:space="preserve"> (76 ans)</w:t>
      </w:r>
    </w:p>
    <w:p w14:paraId="5E7EE7B2"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p>
    <w:p w14:paraId="458B7553"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r w:rsidRPr="00A55A9B">
        <w:rPr>
          <w:rFonts w:ascii="Georgia" w:eastAsia="Times New Roman" w:hAnsi="Georgia" w:cs="Arial"/>
          <w:b/>
          <w:bCs/>
          <w:sz w:val="20"/>
          <w:szCs w:val="20"/>
          <w:lang w:val="fr-FR" w:eastAsia="fr-FR"/>
        </w:rPr>
        <w:t>REFERENCES PROFESSIONNELLES ET ACTIVITES EXERCEES DANS D’AUTRES</w:t>
      </w:r>
      <w:r w:rsidRPr="00A55A9B">
        <w:rPr>
          <w:rFonts w:ascii="Georgia" w:eastAsia="Times New Roman" w:hAnsi="Georgia" w:cs="Arial"/>
          <w:b/>
          <w:sz w:val="20"/>
          <w:szCs w:val="20"/>
          <w:lang w:val="fr-FR" w:eastAsia="fr-FR"/>
        </w:rPr>
        <w:t xml:space="preserve"> SOCIETES, AU COURS DES CINQ DERNIERES ANNEES</w:t>
      </w:r>
      <w:r w:rsidRPr="00A55A9B">
        <w:rPr>
          <w:rFonts w:ascii="Georgia" w:eastAsia="Times New Roman" w:hAnsi="Georgia" w:cs="Arial"/>
          <w:sz w:val="20"/>
          <w:szCs w:val="20"/>
          <w:lang w:val="fr-FR" w:eastAsia="fr-FR"/>
        </w:rPr>
        <w:t> :</w:t>
      </w:r>
    </w:p>
    <w:p w14:paraId="1220CCF1"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p>
    <w:p w14:paraId="4248CAAE" w14:textId="698FFBCC" w:rsidR="00A55A9B" w:rsidRDefault="00A55A9B" w:rsidP="00A55A9B">
      <w:pPr>
        <w:spacing w:after="0" w:line="260" w:lineRule="atLeast"/>
        <w:jc w:val="both"/>
        <w:rPr>
          <w:rFonts w:ascii="Georgia" w:eastAsia="Times New Roman" w:hAnsi="Georgia" w:cs="Times New Roman"/>
          <w:sz w:val="20"/>
          <w:szCs w:val="20"/>
          <w:lang w:val="fr-FR" w:eastAsia="fr-FR"/>
        </w:rPr>
      </w:pPr>
      <w:r w:rsidRPr="00A55A9B">
        <w:rPr>
          <w:rFonts w:ascii="Georgia" w:eastAsia="Times New Roman" w:hAnsi="Georgia" w:cs="Times New Roman"/>
          <w:sz w:val="20"/>
          <w:szCs w:val="20"/>
          <w:lang w:val="fr-FR" w:eastAsia="fr-FR"/>
        </w:rPr>
        <w:t>Charlotte Sibley travaille dans le secteur de la santé depuis quarante ans. Elle a notamment fait bénéficier Pfizer de son expertise en études de marché et a mis ses connaissances en dispositifs médicaux au service de Johnson &amp; Johnson. Au cours de sa carrière, Charlotte a également étendu son expertise aux domaines de l’industrie pharmaceutique mondiale chez Bristol-Myers Squibb et Pharmacia (maintenant Pfizer), de la biotechnologie chez Millennium Pharmaceuticals (maintenant Takeda</w:t>
      </w:r>
      <w:r w:rsidR="00675CDE">
        <w:rPr>
          <w:rFonts w:ascii="Georgia" w:eastAsia="Times New Roman" w:hAnsi="Georgia" w:cs="Times New Roman"/>
          <w:sz w:val="20"/>
          <w:szCs w:val="20"/>
          <w:lang w:val="fr-FR" w:eastAsia="fr-FR"/>
        </w:rPr>
        <w:t xml:space="preserve">) </w:t>
      </w:r>
      <w:r w:rsidRPr="00A55A9B">
        <w:rPr>
          <w:rFonts w:ascii="Georgia" w:eastAsia="Times New Roman" w:hAnsi="Georgia" w:cs="Times New Roman"/>
          <w:sz w:val="20"/>
          <w:szCs w:val="20"/>
          <w:lang w:val="fr-FR" w:eastAsia="fr-FR"/>
        </w:rPr>
        <w:t>et des produits de consommation chez Lipton.</w:t>
      </w:r>
      <w:r w:rsidR="00BB133E" w:rsidRPr="00BB133E">
        <w:rPr>
          <w:lang w:val="fr-FR"/>
        </w:rPr>
        <w:t xml:space="preserve"> </w:t>
      </w:r>
      <w:r w:rsidR="00BB133E" w:rsidRPr="00BB133E">
        <w:rPr>
          <w:rFonts w:ascii="Georgia" w:eastAsia="Times New Roman" w:hAnsi="Georgia" w:cs="Times New Roman"/>
          <w:sz w:val="20"/>
          <w:szCs w:val="20"/>
          <w:lang w:val="fr-FR" w:eastAsia="fr-FR"/>
        </w:rPr>
        <w:t>Elle a été Vice-Présidente Principale chez Shire plc (aujourd'hui Takeda), où elle a créé et dirigé tous les départements mondiaux d'études de marché, d'analyse et de réflexion, avant de devenir responsable de la Gestion du Leadership et des Talents.</w:t>
      </w:r>
      <w:r w:rsidRPr="00A55A9B">
        <w:rPr>
          <w:rFonts w:ascii="Georgia" w:eastAsia="Times New Roman" w:hAnsi="Georgia" w:cs="Times New Roman"/>
          <w:sz w:val="20"/>
          <w:szCs w:val="20"/>
          <w:lang w:val="fr-FR" w:eastAsia="fr-FR"/>
        </w:rPr>
        <w:t xml:space="preserve"> Elle a créé le pôle américain de l’un des leaders britanniques d’études de marché, les rendant rentable en dix-huit mois dans un environnement hautement concurrentiel. Charlotte a également travaillé comme analyste de la sécurité pour l’industrie pharmaceutique chez Donaldson, Lufkin &amp; Jenrette à New York.</w:t>
      </w:r>
    </w:p>
    <w:p w14:paraId="5E2783AC" w14:textId="77777777" w:rsidR="00A55A9B" w:rsidRPr="00A55A9B" w:rsidRDefault="00A55A9B" w:rsidP="00A55A9B">
      <w:pPr>
        <w:spacing w:after="0" w:line="260" w:lineRule="atLeast"/>
        <w:jc w:val="both"/>
        <w:rPr>
          <w:rFonts w:ascii="Georgia" w:eastAsia="Times New Roman" w:hAnsi="Georgia" w:cs="Times New Roman"/>
          <w:sz w:val="20"/>
          <w:szCs w:val="20"/>
          <w:lang w:val="fr-FR" w:eastAsia="fr-FR"/>
        </w:rPr>
      </w:pPr>
    </w:p>
    <w:p w14:paraId="41DCC63E" w14:textId="7D944049" w:rsidR="00A55A9B" w:rsidRPr="00A55A9B" w:rsidRDefault="00A55A9B" w:rsidP="00A55A9B">
      <w:pPr>
        <w:spacing w:after="0" w:line="260" w:lineRule="atLeast"/>
        <w:jc w:val="both"/>
        <w:rPr>
          <w:rFonts w:ascii="Georgia" w:eastAsia="Times New Roman" w:hAnsi="Georgia" w:cs="Times New Roman"/>
          <w:sz w:val="20"/>
          <w:szCs w:val="20"/>
          <w:lang w:val="fr-FR" w:eastAsia="fr-FR"/>
        </w:rPr>
      </w:pPr>
      <w:r w:rsidRPr="00A55A9B">
        <w:rPr>
          <w:rFonts w:ascii="Georgia" w:eastAsia="Times New Roman" w:hAnsi="Georgia" w:cs="Times New Roman"/>
          <w:sz w:val="20"/>
          <w:szCs w:val="20"/>
          <w:lang w:val="fr-FR" w:eastAsia="fr-FR"/>
        </w:rPr>
        <w:t>Charlotte a été nommée Femme de l’Année 2008 par l’association des femmes d’affaires du secteur de la santé, le Healthcare Businesswomen’s Association, en reconnaissance de ses qualités de dirigeante, de son expertise en affaires et de ses conseils de qualité. Elle a également été citée parmi les personnes les plus inspirantes de l’industrie pharmaceutique par PharmaVoice en 2006. Elle siège aux conseils d’administration de Fort Hill Company et a précédemment siégé au conseil d’administration de Taconic Biosciences, Inc. jusqu’à sa vente en 2018. En 2014, elle était membre du Conseil d’administration d’American Pacific Corporation (NASDAQ : AMPAC), un important fabricant de principes actifs pharmaceutiques à façon et de chimie de spécialité.</w:t>
      </w:r>
    </w:p>
    <w:p w14:paraId="4DAE150F" w14:textId="77777777" w:rsidR="00A55A9B" w:rsidRPr="00A55A9B" w:rsidRDefault="00A55A9B" w:rsidP="00A55A9B">
      <w:pPr>
        <w:tabs>
          <w:tab w:val="left" w:pos="2268"/>
        </w:tabs>
        <w:spacing w:after="0" w:line="260" w:lineRule="atLeast"/>
        <w:jc w:val="both"/>
        <w:rPr>
          <w:rFonts w:ascii="Georgia" w:eastAsia="Times New Roman" w:hAnsi="Georgia" w:cs="Arial"/>
          <w:b/>
          <w:sz w:val="20"/>
          <w:szCs w:val="20"/>
          <w:lang w:val="fr-FR" w:eastAsia="fr-FR"/>
        </w:rPr>
      </w:pPr>
    </w:p>
    <w:p w14:paraId="2A6AC6CE" w14:textId="77777777" w:rsidR="00A55A9B" w:rsidRPr="00A55A9B" w:rsidRDefault="00A55A9B" w:rsidP="00A55A9B">
      <w:pPr>
        <w:tabs>
          <w:tab w:val="left" w:pos="2268"/>
        </w:tabs>
        <w:spacing w:after="0" w:line="260" w:lineRule="atLeast"/>
        <w:jc w:val="both"/>
        <w:rPr>
          <w:rFonts w:ascii="Georgia" w:eastAsia="Times New Roman" w:hAnsi="Georgia" w:cs="Arial"/>
          <w:sz w:val="20"/>
          <w:szCs w:val="20"/>
          <w:lang w:val="fr-FR" w:eastAsia="fr-FR"/>
        </w:rPr>
      </w:pPr>
      <w:r w:rsidRPr="00A55A9B">
        <w:rPr>
          <w:rFonts w:ascii="Georgia" w:eastAsia="Times New Roman" w:hAnsi="Georgia" w:cs="Arial"/>
          <w:b/>
          <w:sz w:val="20"/>
          <w:szCs w:val="20"/>
          <w:lang w:val="fr-FR" w:eastAsia="fr-FR"/>
        </w:rPr>
        <w:t>AUTRES EMPLOIS OU FONCTIONS EXERCES DANS LA SOCIETE</w:t>
      </w:r>
      <w:r w:rsidRPr="00A55A9B">
        <w:rPr>
          <w:rFonts w:ascii="Georgia" w:eastAsia="Times New Roman" w:hAnsi="Georgia" w:cs="Arial"/>
          <w:sz w:val="20"/>
          <w:szCs w:val="20"/>
          <w:lang w:val="fr-FR" w:eastAsia="fr-FR"/>
        </w:rPr>
        <w:t> :</w:t>
      </w:r>
    </w:p>
    <w:p w14:paraId="5D5984F5"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p>
    <w:p w14:paraId="4E4E86B7" w14:textId="243FAA59" w:rsidR="00A55A9B" w:rsidRPr="00A55A9B" w:rsidRDefault="00FA79FE" w:rsidP="00A55A9B">
      <w:pPr>
        <w:spacing w:after="0" w:line="260" w:lineRule="atLeast"/>
        <w:jc w:val="both"/>
        <w:rPr>
          <w:rFonts w:ascii="Georgia" w:eastAsia="Times New Roman" w:hAnsi="Georgia" w:cs="Arial"/>
          <w:sz w:val="20"/>
          <w:szCs w:val="20"/>
          <w:lang w:val="fr-FR" w:eastAsia="fr-FR"/>
        </w:rPr>
      </w:pPr>
      <w:r>
        <w:rPr>
          <w:rFonts w:ascii="Georgia" w:eastAsia="Times New Roman" w:hAnsi="Georgia" w:cs="Times New Roman"/>
          <w:color w:val="000000"/>
          <w:sz w:val="20"/>
          <w:szCs w:val="20"/>
          <w:lang w:val="fr-FR" w:eastAsia="fr-FR"/>
        </w:rPr>
        <w:t>Membre du comité des nominations et des rémunérations</w:t>
      </w:r>
    </w:p>
    <w:p w14:paraId="359300E9" w14:textId="77777777" w:rsidR="00A55A9B" w:rsidRPr="00A55A9B" w:rsidRDefault="00A55A9B" w:rsidP="00A55A9B">
      <w:pPr>
        <w:numPr>
          <w:ilvl w:val="12"/>
          <w:numId w:val="0"/>
        </w:numPr>
        <w:spacing w:after="0" w:line="260" w:lineRule="atLeast"/>
        <w:ind w:left="851"/>
        <w:jc w:val="both"/>
        <w:rPr>
          <w:rFonts w:ascii="Georgia" w:eastAsia="Times New Roman" w:hAnsi="Georgia" w:cs="Arial"/>
          <w:sz w:val="20"/>
          <w:szCs w:val="20"/>
          <w:lang w:val="fr-FR" w:eastAsia="fr-FR"/>
        </w:rPr>
      </w:pPr>
    </w:p>
    <w:p w14:paraId="6396A9BB"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r w:rsidRPr="00A55A9B">
        <w:rPr>
          <w:rFonts w:ascii="Georgia" w:eastAsia="Times New Roman" w:hAnsi="Georgia" w:cs="Arial"/>
          <w:b/>
          <w:bCs/>
          <w:sz w:val="20"/>
          <w:szCs w:val="20"/>
          <w:lang w:val="fr-FR" w:eastAsia="fr-FR"/>
        </w:rPr>
        <w:t>NOMBRE D’ACTIONS DE LA SOCIETE POSSEDEES :</w:t>
      </w:r>
      <w:r w:rsidRPr="00A55A9B">
        <w:rPr>
          <w:rFonts w:ascii="Georgia" w:eastAsia="Times New Roman" w:hAnsi="Georgia" w:cs="Arial"/>
          <w:sz w:val="20"/>
          <w:szCs w:val="20"/>
          <w:lang w:val="fr-FR" w:eastAsia="fr-FR"/>
        </w:rPr>
        <w:t xml:space="preserve"> </w:t>
      </w:r>
    </w:p>
    <w:p w14:paraId="25FA68E4"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p>
    <w:p w14:paraId="1296B345"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r w:rsidRPr="00A55A9B">
        <w:rPr>
          <w:rFonts w:ascii="Georgia" w:eastAsia="Times New Roman" w:hAnsi="Georgia" w:cs="Arial"/>
          <w:sz w:val="20"/>
          <w:szCs w:val="20"/>
          <w:lang w:val="fr-FR" w:eastAsia="fr-FR"/>
        </w:rPr>
        <w:t>Aucune action détenue</w:t>
      </w:r>
    </w:p>
    <w:p w14:paraId="3A6819A3"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p>
    <w:p w14:paraId="46AC4533" w14:textId="77777777" w:rsidR="00A55A9B" w:rsidRPr="00A55A9B" w:rsidRDefault="00A55A9B" w:rsidP="00A55A9B">
      <w:pPr>
        <w:spacing w:after="0" w:line="260" w:lineRule="atLeast"/>
        <w:jc w:val="both"/>
        <w:rPr>
          <w:rFonts w:ascii="Georgia" w:eastAsia="Times New Roman" w:hAnsi="Georgia" w:cs="Arial"/>
          <w:sz w:val="20"/>
          <w:szCs w:val="20"/>
          <w:lang w:val="fr-FR" w:eastAsia="fr-FR"/>
        </w:rPr>
      </w:pPr>
    </w:p>
    <w:p w14:paraId="073F49A1" w14:textId="77777777" w:rsidR="00AD67B1" w:rsidRDefault="00AD67B1"/>
    <w:sectPr w:rsidR="00AD67B1" w:rsidSect="00B71919">
      <w:headerReference w:type="even" r:id="rId6"/>
      <w:headerReference w:type="default" r:id="rId7"/>
      <w:footerReference w:type="even"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81A79" w14:textId="77777777" w:rsidR="00601250" w:rsidRDefault="00601250">
      <w:pPr>
        <w:spacing w:after="0" w:line="240" w:lineRule="auto"/>
      </w:pPr>
      <w:r>
        <w:separator/>
      </w:r>
    </w:p>
  </w:endnote>
  <w:endnote w:type="continuationSeparator" w:id="0">
    <w:p w14:paraId="0A196479" w14:textId="77777777" w:rsidR="00601250" w:rsidRDefault="00601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DFKai-SB">
    <w:altName w:val="Microsoft JhengHei Light"/>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BDACB" w14:textId="77777777" w:rsidR="00B40E3E" w:rsidRDefault="00D04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891E" w14:textId="77777777" w:rsidR="00364763" w:rsidRPr="00B71919" w:rsidRDefault="00D04F37" w:rsidP="00B719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AA5A4" w14:textId="77777777" w:rsidR="00DD28ED" w:rsidRPr="00B71919" w:rsidRDefault="00D04F37" w:rsidP="00B71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2918C" w14:textId="77777777" w:rsidR="00601250" w:rsidRDefault="00601250">
      <w:pPr>
        <w:spacing w:after="0" w:line="240" w:lineRule="auto"/>
      </w:pPr>
      <w:r>
        <w:separator/>
      </w:r>
    </w:p>
  </w:footnote>
  <w:footnote w:type="continuationSeparator" w:id="0">
    <w:p w14:paraId="1C9382BC" w14:textId="77777777" w:rsidR="00601250" w:rsidRDefault="006012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6A07" w14:textId="77777777" w:rsidR="00B40E3E" w:rsidRDefault="00D04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5BFA7" w14:textId="77777777" w:rsidR="00B40E3E" w:rsidRDefault="00D04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005BC" w14:textId="77777777" w:rsidR="00B40E3E" w:rsidRDefault="00D04F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A9B"/>
    <w:rsid w:val="000113C3"/>
    <w:rsid w:val="00033A19"/>
    <w:rsid w:val="000B7A59"/>
    <w:rsid w:val="00137A27"/>
    <w:rsid w:val="001A7F02"/>
    <w:rsid w:val="0027774B"/>
    <w:rsid w:val="00463FEC"/>
    <w:rsid w:val="005C7B5A"/>
    <w:rsid w:val="00601250"/>
    <w:rsid w:val="00675CDE"/>
    <w:rsid w:val="00A55A9B"/>
    <w:rsid w:val="00A77FB0"/>
    <w:rsid w:val="00AD67B1"/>
    <w:rsid w:val="00BB133E"/>
    <w:rsid w:val="00BF4D7E"/>
    <w:rsid w:val="00C327F0"/>
    <w:rsid w:val="00CA6D2F"/>
    <w:rsid w:val="00DA747A"/>
    <w:rsid w:val="00DC2640"/>
    <w:rsid w:val="00DC2F56"/>
    <w:rsid w:val="00FA79F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9A844"/>
  <w15:chartTrackingRefBased/>
  <w15:docId w15:val="{A5207910-E5C4-4B17-8A3D-5557D2971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55A9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55A9B"/>
    <w:rPr>
      <w:lang w:val="en-GB"/>
    </w:rPr>
  </w:style>
  <w:style w:type="paragraph" w:styleId="Header">
    <w:name w:val="header"/>
    <w:aliases w:val="B&amp;B Header"/>
    <w:basedOn w:val="Normal"/>
    <w:link w:val="HeaderChar"/>
    <w:uiPriority w:val="99"/>
    <w:semiHidden/>
    <w:rsid w:val="00A55A9B"/>
    <w:pPr>
      <w:tabs>
        <w:tab w:val="center" w:pos="4513"/>
        <w:tab w:val="right" w:pos="9026"/>
      </w:tabs>
      <w:spacing w:after="0" w:line="240" w:lineRule="auto"/>
    </w:pPr>
    <w:rPr>
      <w:rFonts w:ascii="Georgia" w:hAnsi="Georgia"/>
      <w:szCs w:val="20"/>
    </w:rPr>
  </w:style>
  <w:style w:type="character" w:customStyle="1" w:styleId="HeaderChar">
    <w:name w:val="Header Char"/>
    <w:aliases w:val="B&amp;B Header Char"/>
    <w:basedOn w:val="DefaultParagraphFont"/>
    <w:link w:val="Header"/>
    <w:uiPriority w:val="99"/>
    <w:semiHidden/>
    <w:rsid w:val="00A55A9B"/>
    <w:rPr>
      <w:rFonts w:ascii="Georgia" w:hAnsi="Georgia"/>
      <w:szCs w:val="20"/>
      <w:lang w:val="en-GB"/>
    </w:rPr>
  </w:style>
  <w:style w:type="paragraph" w:styleId="Revision">
    <w:name w:val="Revision"/>
    <w:hidden/>
    <w:uiPriority w:val="99"/>
    <w:semiHidden/>
    <w:rsid w:val="00FA79FE"/>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oter" Target="footer1.xml" />
  <Relationship Id="rId13" Type="http://schemas.openxmlformats.org/officeDocument/2006/relationships/theme" Target="theme/theme1.xml" />
  <Relationship Id="rId3" Type="http://schemas.openxmlformats.org/officeDocument/2006/relationships/webSettings" Target="webSettings.xml" />
  <Relationship Id="rId7" Type="http://schemas.openxmlformats.org/officeDocument/2006/relationships/header" Target="header2.xml" />
  <Relationship Id="rId12" Type="http://schemas.openxmlformats.org/officeDocument/2006/relationships/fontTable" Target="fontTable.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header" Target="header1.xml" />
  <Relationship Id="rId11" Type="http://schemas.openxmlformats.org/officeDocument/2006/relationships/footer" Target="footer3.xml" />
  <Relationship Id="rId5" Type="http://schemas.openxmlformats.org/officeDocument/2006/relationships/endnotes" Target="endnotes.xml" />
  <Relationship Id="rId10" Type="http://schemas.openxmlformats.org/officeDocument/2006/relationships/header" Target="header3.xml" />
  <Relationship Id="rId4" Type="http://schemas.openxmlformats.org/officeDocument/2006/relationships/footnotes" Target="footnotes.xml" />
  <Relationship Id="rId9" Type="http://schemas.openxmlformats.org/officeDocument/2006/relationships/footer" Target="footer2.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Pages>1</Pages>
  <Words>371</Words>
  <Characters>2121</Characters>
  <Application>Microsoft Office Word</Application>
  <DocSecurity>0</DocSecurity>
  <Lines>51</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Matters\72578654.1</vt:lpwstr>
  </property>
</Properties>
</file>