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770BB" w14:textId="77777777" w:rsidR="00311D8B" w:rsidRDefault="00311D8B" w:rsidP="00311D8B">
      <w:pPr>
        <w:spacing w:after="0" w:line="240" w:lineRule="auto"/>
        <w:jc w:val="center"/>
        <w:rPr>
          <w:b/>
          <w:bCs/>
          <w:sz w:val="22"/>
          <w:szCs w:val="22"/>
        </w:rPr>
      </w:pPr>
      <w:r>
        <w:rPr>
          <w:noProof/>
          <w:lang w:eastAsia="en-GB"/>
        </w:rPr>
        <w:drawing>
          <wp:inline distT="0" distB="0" distL="0" distR="0" wp14:anchorId="0D454707" wp14:editId="35C298F5">
            <wp:extent cx="1841399" cy="468022"/>
            <wp:effectExtent l="0" t="0" r="698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7425" cy="479720"/>
                    </a:xfrm>
                    <a:prstGeom prst="rect">
                      <a:avLst/>
                    </a:prstGeom>
                    <a:noFill/>
                    <a:ln>
                      <a:noFill/>
                    </a:ln>
                  </pic:spPr>
                </pic:pic>
              </a:graphicData>
            </a:graphic>
          </wp:inline>
        </w:drawing>
      </w:r>
    </w:p>
    <w:p w14:paraId="6EAC9637" w14:textId="77777777" w:rsidR="00311D8B" w:rsidRDefault="00311D8B" w:rsidP="00311D8B">
      <w:pPr>
        <w:spacing w:after="0" w:line="240" w:lineRule="auto"/>
        <w:jc w:val="center"/>
        <w:rPr>
          <w:b/>
          <w:bCs/>
          <w:sz w:val="22"/>
          <w:szCs w:val="22"/>
        </w:rPr>
      </w:pPr>
    </w:p>
    <w:p w14:paraId="3B7BF938" w14:textId="33FA0C0E" w:rsidR="00B11EF9" w:rsidRDefault="00B11EF9" w:rsidP="00311D8B">
      <w:pPr>
        <w:spacing w:after="0" w:line="240" w:lineRule="auto"/>
        <w:jc w:val="center"/>
        <w:rPr>
          <w:b/>
          <w:bCs/>
          <w:noProof/>
          <w:sz w:val="28"/>
          <w:szCs w:val="28"/>
          <w:lang w:val="fr-FR"/>
        </w:rPr>
      </w:pPr>
    </w:p>
    <w:p w14:paraId="1AAD3AC6" w14:textId="77777777" w:rsidR="005E235A" w:rsidRDefault="005E235A" w:rsidP="00311D8B">
      <w:pPr>
        <w:spacing w:after="0" w:line="240" w:lineRule="auto"/>
        <w:jc w:val="center"/>
        <w:rPr>
          <w:b/>
          <w:bCs/>
          <w:noProof/>
          <w:sz w:val="28"/>
          <w:szCs w:val="28"/>
          <w:lang w:val="fr-FR"/>
        </w:rPr>
      </w:pPr>
    </w:p>
    <w:p w14:paraId="4FD82FEE" w14:textId="397777E0" w:rsidR="00311D8B" w:rsidRPr="007A31AE" w:rsidRDefault="00311D8B" w:rsidP="00311D8B">
      <w:pPr>
        <w:spacing w:after="0" w:line="240" w:lineRule="auto"/>
        <w:jc w:val="center"/>
        <w:rPr>
          <w:b/>
          <w:bCs/>
          <w:noProof/>
          <w:sz w:val="28"/>
          <w:szCs w:val="28"/>
          <w:lang w:val="fr-FR"/>
        </w:rPr>
      </w:pPr>
      <w:r w:rsidRPr="007A31AE">
        <w:rPr>
          <w:b/>
          <w:bCs/>
          <w:noProof/>
          <w:sz w:val="28"/>
          <w:szCs w:val="28"/>
          <w:lang w:val="fr-FR"/>
        </w:rPr>
        <w:t xml:space="preserve">Advicenne </w:t>
      </w:r>
      <w:r w:rsidR="007A31AE" w:rsidRPr="007A31AE">
        <w:rPr>
          <w:b/>
          <w:bCs/>
          <w:noProof/>
          <w:sz w:val="28"/>
          <w:szCs w:val="28"/>
          <w:lang w:val="fr-FR"/>
        </w:rPr>
        <w:t xml:space="preserve">présente ses résultats financiers </w:t>
      </w:r>
      <w:r w:rsidR="00E14231">
        <w:rPr>
          <w:b/>
          <w:bCs/>
          <w:noProof/>
          <w:sz w:val="28"/>
          <w:szCs w:val="28"/>
          <w:lang w:val="fr-FR"/>
        </w:rPr>
        <w:t xml:space="preserve">au 31 décembre </w:t>
      </w:r>
      <w:r w:rsidRPr="007A31AE">
        <w:rPr>
          <w:b/>
          <w:bCs/>
          <w:noProof/>
          <w:sz w:val="28"/>
          <w:szCs w:val="28"/>
          <w:lang w:val="fr-FR"/>
        </w:rPr>
        <w:t>202</w:t>
      </w:r>
      <w:r w:rsidR="00173D3D">
        <w:rPr>
          <w:b/>
          <w:bCs/>
          <w:noProof/>
          <w:sz w:val="28"/>
          <w:szCs w:val="28"/>
          <w:lang w:val="fr-FR"/>
        </w:rPr>
        <w:t>2</w:t>
      </w:r>
    </w:p>
    <w:p w14:paraId="0EE58666" w14:textId="529CCFB3" w:rsidR="00B11EF9" w:rsidRDefault="00B11EF9" w:rsidP="00311D8B">
      <w:pPr>
        <w:tabs>
          <w:tab w:val="left" w:pos="2530"/>
          <w:tab w:val="center" w:pos="4961"/>
        </w:tabs>
        <w:spacing w:after="0" w:line="240" w:lineRule="auto"/>
        <w:rPr>
          <w:i/>
          <w:iCs/>
          <w:noProof/>
          <w:sz w:val="22"/>
          <w:szCs w:val="22"/>
          <w:lang w:val="fr-FR"/>
        </w:rPr>
      </w:pPr>
    </w:p>
    <w:p w14:paraId="64D8F9F1" w14:textId="77777777" w:rsidR="004A2440" w:rsidRDefault="004A2440" w:rsidP="00311D8B">
      <w:pPr>
        <w:tabs>
          <w:tab w:val="left" w:pos="2530"/>
          <w:tab w:val="center" w:pos="4961"/>
        </w:tabs>
        <w:spacing w:after="0" w:line="240" w:lineRule="auto"/>
        <w:rPr>
          <w:i/>
          <w:iCs/>
          <w:noProof/>
          <w:sz w:val="22"/>
          <w:szCs w:val="22"/>
          <w:lang w:val="fr-FR"/>
        </w:rPr>
      </w:pPr>
    </w:p>
    <w:p w14:paraId="5AC1FFEB" w14:textId="7DFEA04F" w:rsidR="00173D3D" w:rsidRPr="00E14231" w:rsidRDefault="00173D3D" w:rsidP="00173D3D">
      <w:pPr>
        <w:pStyle w:val="Paragraphedeliste"/>
        <w:numPr>
          <w:ilvl w:val="0"/>
          <w:numId w:val="7"/>
        </w:numPr>
        <w:ind w:left="1134"/>
        <w:rPr>
          <w:i/>
          <w:iCs/>
          <w:noProof/>
          <w:sz w:val="24"/>
          <w:szCs w:val="24"/>
          <w:lang w:val="fr-FR"/>
        </w:rPr>
      </w:pPr>
      <w:r w:rsidRPr="00E14231">
        <w:rPr>
          <w:rFonts w:eastAsia="Times New Roman" w:cstheme="minorHAnsi"/>
          <w:i/>
          <w:iCs/>
          <w:sz w:val="24"/>
          <w:szCs w:val="24"/>
          <w:lang w:val="fr-FR" w:eastAsia="fr-FR"/>
        </w:rPr>
        <w:t xml:space="preserve">Premiers lancements commerciaux en </w:t>
      </w:r>
      <w:r w:rsidR="00E14231" w:rsidRPr="00E14231">
        <w:rPr>
          <w:rFonts w:eastAsia="Times New Roman" w:cstheme="minorHAnsi"/>
          <w:i/>
          <w:iCs/>
          <w:sz w:val="24"/>
          <w:szCs w:val="24"/>
          <w:lang w:val="fr-FR" w:eastAsia="fr-FR"/>
        </w:rPr>
        <w:t>Europe</w:t>
      </w:r>
      <w:r w:rsidRPr="00E14231">
        <w:rPr>
          <w:rFonts w:eastAsia="Times New Roman" w:cstheme="minorHAnsi"/>
          <w:i/>
          <w:iCs/>
          <w:sz w:val="24"/>
          <w:szCs w:val="24"/>
          <w:lang w:val="fr-FR" w:eastAsia="fr-FR"/>
        </w:rPr>
        <w:t xml:space="preserve"> de Sibnayal® (citrate de potassium et bicarbonate de potassium)</w:t>
      </w:r>
    </w:p>
    <w:p w14:paraId="63E87757" w14:textId="2ED85C4B" w:rsidR="00173D3D" w:rsidRPr="00E14231" w:rsidRDefault="00173D3D" w:rsidP="00173D3D">
      <w:pPr>
        <w:pStyle w:val="Paragraphedeliste"/>
        <w:numPr>
          <w:ilvl w:val="0"/>
          <w:numId w:val="7"/>
        </w:numPr>
        <w:ind w:left="1134"/>
        <w:rPr>
          <w:i/>
          <w:iCs/>
          <w:noProof/>
          <w:sz w:val="24"/>
          <w:szCs w:val="24"/>
          <w:lang w:val="fr-FR"/>
        </w:rPr>
      </w:pPr>
      <w:r w:rsidRPr="00E14231">
        <w:rPr>
          <w:i/>
          <w:iCs/>
          <w:noProof/>
          <w:sz w:val="24"/>
          <w:szCs w:val="24"/>
          <w:lang w:val="fr-FR"/>
        </w:rPr>
        <w:t>ADV7103 désigné comme médicament orphelin pour l'acidose tubulaire rénale distale (ATRd) aux Etats-Unis</w:t>
      </w:r>
    </w:p>
    <w:p w14:paraId="735DAB22" w14:textId="77777777" w:rsidR="00173D3D" w:rsidRPr="00E14231" w:rsidRDefault="00173D3D" w:rsidP="00173D3D">
      <w:pPr>
        <w:pStyle w:val="Paragraphedeliste"/>
        <w:numPr>
          <w:ilvl w:val="0"/>
          <w:numId w:val="7"/>
        </w:numPr>
        <w:ind w:left="1134"/>
        <w:rPr>
          <w:i/>
          <w:iCs/>
          <w:noProof/>
          <w:sz w:val="24"/>
          <w:szCs w:val="24"/>
          <w:lang w:val="fr-FR"/>
        </w:rPr>
      </w:pPr>
      <w:r w:rsidRPr="00E14231">
        <w:rPr>
          <w:i/>
          <w:iCs/>
          <w:noProof/>
          <w:sz w:val="24"/>
          <w:szCs w:val="24"/>
          <w:lang w:val="fr-FR"/>
        </w:rPr>
        <w:t>Gestion optimisée des dépenses opérationnelles et amélioration de l'allocation des ressources aux opérations créatrices de valeur</w:t>
      </w:r>
    </w:p>
    <w:p w14:paraId="0E25784C" w14:textId="009E3686" w:rsidR="00173D3D" w:rsidRPr="00E14231" w:rsidRDefault="00173D3D" w:rsidP="00173D3D">
      <w:pPr>
        <w:pStyle w:val="Paragraphedeliste"/>
        <w:numPr>
          <w:ilvl w:val="0"/>
          <w:numId w:val="7"/>
        </w:numPr>
        <w:ind w:left="1134"/>
        <w:rPr>
          <w:i/>
          <w:iCs/>
          <w:noProof/>
          <w:sz w:val="24"/>
          <w:szCs w:val="24"/>
          <w:lang w:val="fr-FR"/>
        </w:rPr>
      </w:pPr>
      <w:r w:rsidRPr="00E14231">
        <w:rPr>
          <w:i/>
          <w:iCs/>
          <w:noProof/>
          <w:sz w:val="24"/>
          <w:szCs w:val="24"/>
          <w:lang w:val="fr-FR"/>
        </w:rPr>
        <w:t xml:space="preserve">Position de trésorerie de clôture à 8,3 M€ étendant le financement des opérations jusqu’au </w:t>
      </w:r>
      <w:r w:rsidR="001F7EA1">
        <w:rPr>
          <w:i/>
          <w:iCs/>
          <w:noProof/>
          <w:sz w:val="24"/>
          <w:szCs w:val="24"/>
          <w:lang w:val="fr-FR"/>
        </w:rPr>
        <w:t>premier trimestre</w:t>
      </w:r>
      <w:r w:rsidR="001F7EA1" w:rsidRPr="00E14231">
        <w:rPr>
          <w:i/>
          <w:iCs/>
          <w:noProof/>
          <w:sz w:val="24"/>
          <w:szCs w:val="24"/>
          <w:lang w:val="fr-FR"/>
        </w:rPr>
        <w:t xml:space="preserve"> </w:t>
      </w:r>
      <w:r w:rsidRPr="00E14231">
        <w:rPr>
          <w:i/>
          <w:iCs/>
          <w:noProof/>
          <w:sz w:val="24"/>
          <w:szCs w:val="24"/>
          <w:lang w:val="fr-FR"/>
        </w:rPr>
        <w:t>2024</w:t>
      </w:r>
    </w:p>
    <w:p w14:paraId="5E41F4D5" w14:textId="72F96C50" w:rsidR="00C96C5C" w:rsidRDefault="00C96C5C" w:rsidP="00C96C5C">
      <w:pPr>
        <w:pStyle w:val="Paragraphedeliste"/>
        <w:ind w:left="2356"/>
        <w:rPr>
          <w:noProof/>
          <w:sz w:val="22"/>
          <w:szCs w:val="22"/>
          <w:lang w:val="fr-FR"/>
        </w:rPr>
      </w:pPr>
    </w:p>
    <w:p w14:paraId="65BD2A21" w14:textId="77777777" w:rsidR="004A2440" w:rsidRPr="00C96C5C" w:rsidRDefault="004A2440" w:rsidP="00C96C5C">
      <w:pPr>
        <w:pStyle w:val="Paragraphedeliste"/>
        <w:ind w:left="2356"/>
        <w:rPr>
          <w:noProof/>
          <w:sz w:val="22"/>
          <w:szCs w:val="22"/>
          <w:lang w:val="fr-FR"/>
        </w:rPr>
      </w:pPr>
    </w:p>
    <w:p w14:paraId="0BD345A9" w14:textId="7059EC42" w:rsidR="000A6CA9" w:rsidRDefault="00311D8B" w:rsidP="004A2440">
      <w:pPr>
        <w:jc w:val="both"/>
        <w:rPr>
          <w:rFonts w:ascii="Calibri" w:hAnsi="Calibri" w:cs="Calibri"/>
          <w:sz w:val="22"/>
          <w:szCs w:val="22"/>
          <w:lang w:val="fr-FR"/>
        </w:rPr>
      </w:pPr>
      <w:r w:rsidRPr="00C96C5C">
        <w:rPr>
          <w:b/>
          <w:bCs/>
          <w:noProof/>
          <w:sz w:val="22"/>
          <w:szCs w:val="22"/>
          <w:lang w:val="fr-FR"/>
        </w:rPr>
        <w:t xml:space="preserve">Paris, France, </w:t>
      </w:r>
      <w:r w:rsidR="005C3848" w:rsidRPr="00C96C5C">
        <w:rPr>
          <w:b/>
          <w:bCs/>
          <w:noProof/>
          <w:sz w:val="22"/>
          <w:szCs w:val="22"/>
          <w:lang w:val="fr-FR"/>
        </w:rPr>
        <w:t xml:space="preserve">le </w:t>
      </w:r>
      <w:r w:rsidR="00B00A6F" w:rsidRPr="00C96C5C">
        <w:rPr>
          <w:b/>
          <w:bCs/>
          <w:noProof/>
          <w:sz w:val="22"/>
          <w:szCs w:val="22"/>
          <w:lang w:val="fr-FR"/>
        </w:rPr>
        <w:t>3</w:t>
      </w:r>
      <w:r w:rsidR="00173D3D">
        <w:rPr>
          <w:b/>
          <w:bCs/>
          <w:noProof/>
          <w:sz w:val="22"/>
          <w:szCs w:val="22"/>
          <w:lang w:val="fr-FR"/>
        </w:rPr>
        <w:t>0</w:t>
      </w:r>
      <w:r w:rsidRPr="00C96C5C">
        <w:rPr>
          <w:b/>
          <w:bCs/>
          <w:noProof/>
          <w:sz w:val="22"/>
          <w:szCs w:val="22"/>
          <w:lang w:val="fr-FR"/>
        </w:rPr>
        <w:t xml:space="preserve"> </w:t>
      </w:r>
      <w:r w:rsidR="00B00A6F" w:rsidRPr="00C96C5C">
        <w:rPr>
          <w:b/>
          <w:bCs/>
          <w:noProof/>
          <w:sz w:val="22"/>
          <w:szCs w:val="22"/>
          <w:lang w:val="fr-FR"/>
        </w:rPr>
        <w:t>mars</w:t>
      </w:r>
      <w:r w:rsidR="005C3848" w:rsidRPr="00C96C5C">
        <w:rPr>
          <w:b/>
          <w:bCs/>
          <w:noProof/>
          <w:sz w:val="22"/>
          <w:szCs w:val="22"/>
          <w:lang w:val="fr-FR"/>
        </w:rPr>
        <w:t xml:space="preserve"> 202</w:t>
      </w:r>
      <w:r w:rsidR="00173D3D">
        <w:rPr>
          <w:b/>
          <w:bCs/>
          <w:noProof/>
          <w:sz w:val="22"/>
          <w:szCs w:val="22"/>
          <w:lang w:val="fr-FR"/>
        </w:rPr>
        <w:t>3</w:t>
      </w:r>
      <w:r w:rsidR="005C3848" w:rsidRPr="00C96C5C">
        <w:rPr>
          <w:b/>
          <w:bCs/>
          <w:noProof/>
          <w:sz w:val="22"/>
          <w:szCs w:val="22"/>
          <w:lang w:val="fr-FR"/>
        </w:rPr>
        <w:t xml:space="preserve">, </w:t>
      </w:r>
      <w:r w:rsidR="005C3848" w:rsidRPr="00BE7064">
        <w:rPr>
          <w:b/>
          <w:bCs/>
          <w:noProof/>
          <w:sz w:val="22"/>
          <w:szCs w:val="22"/>
          <w:lang w:val="fr-FR"/>
        </w:rPr>
        <w:t xml:space="preserve">à </w:t>
      </w:r>
      <w:r w:rsidR="00CF4E65" w:rsidRPr="00BE7064">
        <w:rPr>
          <w:b/>
          <w:bCs/>
          <w:noProof/>
          <w:sz w:val="22"/>
          <w:szCs w:val="22"/>
          <w:lang w:val="fr-FR"/>
        </w:rPr>
        <w:t>18</w:t>
      </w:r>
      <w:r w:rsidR="005C3848" w:rsidRPr="00BE7064">
        <w:rPr>
          <w:b/>
          <w:bCs/>
          <w:noProof/>
          <w:sz w:val="22"/>
          <w:szCs w:val="22"/>
          <w:lang w:val="fr-FR"/>
        </w:rPr>
        <w:t>h00 (CET)</w:t>
      </w:r>
      <w:r w:rsidRPr="00BE7064">
        <w:rPr>
          <w:b/>
          <w:bCs/>
          <w:noProof/>
          <w:sz w:val="22"/>
          <w:szCs w:val="22"/>
          <w:lang w:val="fr-FR"/>
        </w:rPr>
        <w:t xml:space="preserve"> – </w:t>
      </w:r>
      <w:r w:rsidR="005C3848" w:rsidRPr="00BE7064">
        <w:rPr>
          <w:rFonts w:ascii="Calibri" w:hAnsi="Calibri" w:cs="Calibri"/>
          <w:sz w:val="22"/>
          <w:szCs w:val="22"/>
          <w:lang w:val="fr-FR"/>
        </w:rPr>
        <w:t>Advicenne (</w:t>
      </w:r>
      <w:r w:rsidR="00E14231" w:rsidRPr="00E14231">
        <w:rPr>
          <w:rFonts w:cstheme="minorHAnsi"/>
          <w:color w:val="000000" w:themeColor="text1"/>
          <w:sz w:val="22"/>
          <w:szCs w:val="22"/>
          <w:lang w:val="fr-FR"/>
        </w:rPr>
        <w:t>Euronext Growth Paris ALDVI - FR0013296746</w:t>
      </w:r>
      <w:r w:rsidR="005C3848" w:rsidRPr="00BE7064">
        <w:rPr>
          <w:rFonts w:ascii="Calibri" w:hAnsi="Calibri" w:cs="Calibri"/>
          <w:sz w:val="22"/>
          <w:szCs w:val="22"/>
          <w:lang w:val="fr-FR"/>
        </w:rPr>
        <w:t xml:space="preserve">), </w:t>
      </w:r>
      <w:r w:rsidR="005920A0" w:rsidRPr="00BE7064">
        <w:rPr>
          <w:rFonts w:ascii="Calibri" w:hAnsi="Calibri" w:cs="Calibri"/>
          <w:sz w:val="22"/>
          <w:szCs w:val="22"/>
          <w:lang w:val="fr-FR"/>
        </w:rPr>
        <w:t>socié</w:t>
      </w:r>
      <w:r w:rsidR="000768C9">
        <w:rPr>
          <w:rFonts w:ascii="Calibri" w:hAnsi="Calibri" w:cs="Calibri"/>
          <w:sz w:val="22"/>
          <w:szCs w:val="22"/>
          <w:lang w:val="fr-FR"/>
        </w:rPr>
        <w:t xml:space="preserve">té </w:t>
      </w:r>
      <w:r w:rsidR="005C3848" w:rsidRPr="00C96C5C">
        <w:rPr>
          <w:rFonts w:ascii="Calibri" w:hAnsi="Calibri" w:cs="Calibri"/>
          <w:sz w:val="22"/>
          <w:szCs w:val="22"/>
          <w:lang w:val="fr-FR"/>
        </w:rPr>
        <w:t xml:space="preserve">pharmaceutique </w:t>
      </w:r>
      <w:r w:rsidR="005920A0" w:rsidRPr="00C96C5C">
        <w:rPr>
          <w:rFonts w:ascii="Calibri" w:hAnsi="Calibri" w:cs="Calibri"/>
          <w:sz w:val="22"/>
          <w:szCs w:val="22"/>
          <w:lang w:val="fr-FR"/>
        </w:rPr>
        <w:t>spécialisée</w:t>
      </w:r>
      <w:r w:rsidR="005C3848" w:rsidRPr="00C96C5C">
        <w:rPr>
          <w:rFonts w:ascii="Calibri" w:hAnsi="Calibri" w:cs="Calibri"/>
          <w:sz w:val="22"/>
          <w:szCs w:val="22"/>
          <w:lang w:val="fr-FR"/>
        </w:rPr>
        <w:t xml:space="preserve"> dans le </w:t>
      </w:r>
      <w:r w:rsidR="005920A0" w:rsidRPr="00C96C5C">
        <w:rPr>
          <w:rFonts w:ascii="Calibri" w:hAnsi="Calibri" w:cs="Calibri"/>
          <w:sz w:val="22"/>
          <w:szCs w:val="22"/>
          <w:lang w:val="fr-FR"/>
        </w:rPr>
        <w:t>développement</w:t>
      </w:r>
      <w:r w:rsidR="005C3848" w:rsidRPr="00C96C5C">
        <w:rPr>
          <w:rFonts w:ascii="Calibri" w:hAnsi="Calibri" w:cs="Calibri"/>
          <w:sz w:val="22"/>
          <w:szCs w:val="22"/>
          <w:lang w:val="fr-FR"/>
        </w:rPr>
        <w:t xml:space="preserve"> et la commercialisation de traitements innovants pour les personnes souffrant de maladies </w:t>
      </w:r>
      <w:r w:rsidR="00350426" w:rsidRPr="00C96C5C">
        <w:rPr>
          <w:rFonts w:ascii="Calibri" w:hAnsi="Calibri" w:cs="Calibri"/>
          <w:sz w:val="22"/>
          <w:szCs w:val="22"/>
          <w:lang w:val="fr-FR"/>
        </w:rPr>
        <w:t>rénales</w:t>
      </w:r>
      <w:r w:rsidR="005C3848" w:rsidRPr="00C96C5C">
        <w:rPr>
          <w:rFonts w:ascii="Calibri" w:hAnsi="Calibri" w:cs="Calibri"/>
          <w:sz w:val="22"/>
          <w:szCs w:val="22"/>
          <w:lang w:val="fr-FR"/>
        </w:rPr>
        <w:t xml:space="preserve"> rares, annonce aujourd’hui la publication de ses résultats financiers </w:t>
      </w:r>
      <w:r w:rsidR="00DD0283" w:rsidRPr="00C96C5C">
        <w:rPr>
          <w:rFonts w:ascii="Calibri" w:hAnsi="Calibri" w:cs="Calibri"/>
          <w:sz w:val="22"/>
          <w:szCs w:val="22"/>
          <w:lang w:val="fr-FR"/>
        </w:rPr>
        <w:t>annuels 202</w:t>
      </w:r>
      <w:r w:rsidR="00173D3D">
        <w:rPr>
          <w:rFonts w:ascii="Calibri" w:hAnsi="Calibri" w:cs="Calibri"/>
          <w:sz w:val="22"/>
          <w:szCs w:val="22"/>
          <w:lang w:val="fr-FR"/>
        </w:rPr>
        <w:t>2</w:t>
      </w:r>
      <w:r w:rsidR="00DD0283" w:rsidRPr="00C96C5C">
        <w:rPr>
          <w:rFonts w:ascii="Calibri" w:hAnsi="Calibri" w:cs="Calibri"/>
          <w:sz w:val="22"/>
          <w:szCs w:val="22"/>
          <w:lang w:val="fr-FR"/>
        </w:rPr>
        <w:t xml:space="preserve"> et </w:t>
      </w:r>
      <w:r w:rsidR="00173D3D">
        <w:rPr>
          <w:rFonts w:ascii="Calibri" w:hAnsi="Calibri" w:cs="Calibri"/>
          <w:sz w:val="22"/>
          <w:szCs w:val="22"/>
          <w:lang w:val="fr-FR"/>
        </w:rPr>
        <w:t xml:space="preserve">fait le point </w:t>
      </w:r>
      <w:r w:rsidR="00DD0283" w:rsidRPr="00C96C5C">
        <w:rPr>
          <w:rFonts w:ascii="Calibri" w:hAnsi="Calibri" w:cs="Calibri"/>
          <w:sz w:val="22"/>
          <w:szCs w:val="22"/>
          <w:lang w:val="fr-FR"/>
        </w:rPr>
        <w:t>sur ses activités</w:t>
      </w:r>
      <w:r w:rsidR="005C3848" w:rsidRPr="00C96C5C">
        <w:rPr>
          <w:rFonts w:ascii="Calibri" w:hAnsi="Calibri" w:cs="Calibri"/>
          <w:sz w:val="22"/>
          <w:szCs w:val="22"/>
          <w:lang w:val="fr-FR"/>
        </w:rPr>
        <w:t>.</w:t>
      </w:r>
    </w:p>
    <w:p w14:paraId="01F2D58B" w14:textId="39497EF7" w:rsidR="00173D3D" w:rsidRPr="00173D3D" w:rsidRDefault="006C35A3" w:rsidP="004A2440">
      <w:pPr>
        <w:jc w:val="both"/>
        <w:rPr>
          <w:rFonts w:cstheme="minorHAnsi"/>
          <w:sz w:val="22"/>
          <w:szCs w:val="22"/>
          <w:lang w:val="fr-FR"/>
        </w:rPr>
      </w:pPr>
      <w:r w:rsidRPr="00C96C5C">
        <w:rPr>
          <w:rFonts w:ascii="Calibri" w:hAnsi="Calibri" w:cs="Calibri"/>
          <w:sz w:val="22"/>
          <w:szCs w:val="22"/>
          <w:lang w:val="fr-FR"/>
        </w:rPr>
        <w:t xml:space="preserve">Les comptes </w:t>
      </w:r>
      <w:r w:rsidR="00E14231">
        <w:rPr>
          <w:rFonts w:ascii="Calibri" w:hAnsi="Calibri" w:cs="Calibri"/>
          <w:sz w:val="22"/>
          <w:szCs w:val="22"/>
          <w:lang w:val="fr-FR"/>
        </w:rPr>
        <w:t>d</w:t>
      </w:r>
      <w:r w:rsidRPr="00C96C5C">
        <w:rPr>
          <w:rFonts w:ascii="Calibri" w:hAnsi="Calibri" w:cs="Calibri"/>
          <w:sz w:val="22"/>
          <w:szCs w:val="22"/>
          <w:lang w:val="fr-FR"/>
        </w:rPr>
        <w:t>e l’exercice 202</w:t>
      </w:r>
      <w:r w:rsidR="00173D3D">
        <w:rPr>
          <w:rFonts w:ascii="Calibri" w:hAnsi="Calibri" w:cs="Calibri"/>
          <w:sz w:val="22"/>
          <w:szCs w:val="22"/>
          <w:lang w:val="fr-FR"/>
        </w:rPr>
        <w:t xml:space="preserve">2 </w:t>
      </w:r>
      <w:r w:rsidR="00A0575F" w:rsidRPr="00C96C5C">
        <w:rPr>
          <w:rFonts w:ascii="Calibri" w:hAnsi="Calibri" w:cs="Calibri"/>
          <w:sz w:val="22"/>
          <w:szCs w:val="22"/>
          <w:lang w:val="fr-FR"/>
        </w:rPr>
        <w:t>ont été approuvés par le Conseil d’administration réuni le 3</w:t>
      </w:r>
      <w:r w:rsidR="00173D3D">
        <w:rPr>
          <w:rFonts w:ascii="Calibri" w:hAnsi="Calibri" w:cs="Calibri"/>
          <w:sz w:val="22"/>
          <w:szCs w:val="22"/>
          <w:lang w:val="fr-FR"/>
        </w:rPr>
        <w:t>0</w:t>
      </w:r>
      <w:r w:rsidR="00A0575F" w:rsidRPr="00C96C5C">
        <w:rPr>
          <w:rFonts w:ascii="Calibri" w:hAnsi="Calibri" w:cs="Calibri"/>
          <w:sz w:val="22"/>
          <w:szCs w:val="22"/>
          <w:lang w:val="fr-FR"/>
        </w:rPr>
        <w:t xml:space="preserve"> mars </w:t>
      </w:r>
      <w:r w:rsidR="00A0575F" w:rsidRPr="00256B15">
        <w:rPr>
          <w:rFonts w:cstheme="minorHAnsi"/>
          <w:sz w:val="22"/>
          <w:szCs w:val="22"/>
          <w:lang w:val="fr-FR"/>
        </w:rPr>
        <w:t>202</w:t>
      </w:r>
      <w:r w:rsidR="00E14231">
        <w:rPr>
          <w:rFonts w:cstheme="minorHAnsi"/>
          <w:sz w:val="22"/>
          <w:szCs w:val="22"/>
          <w:lang w:val="fr-FR"/>
        </w:rPr>
        <w:t>3</w:t>
      </w:r>
      <w:r w:rsidR="00173D3D">
        <w:rPr>
          <w:rFonts w:cstheme="minorHAnsi"/>
          <w:sz w:val="22"/>
          <w:szCs w:val="22"/>
          <w:lang w:val="fr-FR"/>
        </w:rPr>
        <w:t xml:space="preserve">. </w:t>
      </w:r>
      <w:r w:rsidR="00E14231">
        <w:rPr>
          <w:rFonts w:cstheme="minorHAnsi"/>
          <w:sz w:val="22"/>
          <w:szCs w:val="22"/>
          <w:lang w:val="fr-FR"/>
        </w:rPr>
        <w:t>Les procédures d’audit sont en cours de finalisation et les auditeurs devraient émettre leurs rapport</w:t>
      </w:r>
      <w:r w:rsidR="005C249E">
        <w:rPr>
          <w:rFonts w:cstheme="minorHAnsi"/>
          <w:sz w:val="22"/>
          <w:szCs w:val="22"/>
          <w:lang w:val="fr-FR"/>
        </w:rPr>
        <w:t>s</w:t>
      </w:r>
      <w:r w:rsidR="00E14231">
        <w:rPr>
          <w:rFonts w:cstheme="minorHAnsi"/>
          <w:sz w:val="22"/>
          <w:szCs w:val="22"/>
          <w:lang w:val="fr-FR"/>
        </w:rPr>
        <w:t xml:space="preserve"> d’ici la fin avril 2023.</w:t>
      </w:r>
    </w:p>
    <w:p w14:paraId="2082AE67" w14:textId="1E4BB01B" w:rsidR="00173D3D" w:rsidRPr="00173D3D" w:rsidRDefault="009B6218" w:rsidP="00173D3D">
      <w:pPr>
        <w:spacing w:after="0" w:line="240" w:lineRule="auto"/>
        <w:jc w:val="both"/>
        <w:rPr>
          <w:i/>
          <w:iCs/>
          <w:noProof/>
          <w:sz w:val="22"/>
          <w:szCs w:val="22"/>
          <w:lang w:val="fr-FR"/>
        </w:rPr>
      </w:pPr>
      <w:r w:rsidRPr="00550DE9">
        <w:rPr>
          <w:b/>
          <w:bCs/>
          <w:noProof/>
          <w:sz w:val="22"/>
          <w:szCs w:val="22"/>
          <w:lang w:val="fr-FR"/>
        </w:rPr>
        <w:t>Didier Laurens, Directeur Général</w:t>
      </w:r>
      <w:r w:rsidR="000A6CA9">
        <w:rPr>
          <w:b/>
          <w:bCs/>
          <w:noProof/>
          <w:sz w:val="22"/>
          <w:szCs w:val="22"/>
          <w:lang w:val="fr-FR"/>
        </w:rPr>
        <w:t xml:space="preserve"> d’Advicenne</w:t>
      </w:r>
      <w:r w:rsidRPr="00550DE9">
        <w:rPr>
          <w:b/>
          <w:bCs/>
          <w:noProof/>
          <w:sz w:val="22"/>
          <w:szCs w:val="22"/>
          <w:lang w:val="fr-FR"/>
        </w:rPr>
        <w:t>, a commenté :</w:t>
      </w:r>
      <w:r>
        <w:rPr>
          <w:noProof/>
          <w:sz w:val="22"/>
          <w:szCs w:val="22"/>
          <w:lang w:val="fr-FR"/>
        </w:rPr>
        <w:t xml:space="preserve"> </w:t>
      </w:r>
      <w:r w:rsidRPr="00550DE9">
        <w:rPr>
          <w:i/>
          <w:iCs/>
          <w:noProof/>
          <w:sz w:val="22"/>
          <w:szCs w:val="22"/>
          <w:lang w:val="fr-FR"/>
        </w:rPr>
        <w:t>« </w:t>
      </w:r>
      <w:r w:rsidR="00173D3D" w:rsidRPr="00173D3D">
        <w:rPr>
          <w:i/>
          <w:iCs/>
          <w:noProof/>
          <w:sz w:val="22"/>
          <w:szCs w:val="22"/>
          <w:lang w:val="fr-FR"/>
        </w:rPr>
        <w:t xml:space="preserve">2022 a sans aucun doute marqué un tournant </w:t>
      </w:r>
      <w:r w:rsidR="00173D3D">
        <w:rPr>
          <w:i/>
          <w:iCs/>
          <w:noProof/>
          <w:sz w:val="22"/>
          <w:szCs w:val="22"/>
          <w:lang w:val="fr-FR"/>
        </w:rPr>
        <w:t>dans l’histoire d’</w:t>
      </w:r>
      <w:r w:rsidR="00173D3D" w:rsidRPr="00173D3D">
        <w:rPr>
          <w:i/>
          <w:iCs/>
          <w:noProof/>
          <w:sz w:val="22"/>
          <w:szCs w:val="22"/>
          <w:lang w:val="fr-FR"/>
        </w:rPr>
        <w:t>Advicenne, puisque nous sommes passés à la phase commerciale de Sibnayal®</w:t>
      </w:r>
      <w:r w:rsidR="00173D3D">
        <w:rPr>
          <w:i/>
          <w:iCs/>
          <w:noProof/>
          <w:sz w:val="22"/>
          <w:szCs w:val="22"/>
          <w:lang w:val="fr-FR"/>
        </w:rPr>
        <w:t xml:space="preserve">, </w:t>
      </w:r>
      <w:r w:rsidR="00173D3D" w:rsidRPr="00173D3D">
        <w:rPr>
          <w:i/>
          <w:iCs/>
          <w:noProof/>
          <w:sz w:val="22"/>
          <w:szCs w:val="22"/>
          <w:lang w:val="fr-FR"/>
        </w:rPr>
        <w:t>notre principal produit. Cela a été possible grâce à</w:t>
      </w:r>
      <w:r w:rsidR="00173D3D">
        <w:rPr>
          <w:i/>
          <w:iCs/>
          <w:noProof/>
          <w:sz w:val="22"/>
          <w:szCs w:val="22"/>
          <w:lang w:val="fr-FR"/>
        </w:rPr>
        <w:t xml:space="preserve"> la forte mobilisation de nos équipes </w:t>
      </w:r>
      <w:r w:rsidR="00173D3D" w:rsidRPr="00173D3D">
        <w:rPr>
          <w:i/>
          <w:iCs/>
          <w:noProof/>
          <w:sz w:val="22"/>
          <w:szCs w:val="22"/>
          <w:lang w:val="fr-FR"/>
        </w:rPr>
        <w:t>opérationnelle</w:t>
      </w:r>
      <w:r w:rsidR="00173D3D">
        <w:rPr>
          <w:i/>
          <w:iCs/>
          <w:noProof/>
          <w:sz w:val="22"/>
          <w:szCs w:val="22"/>
          <w:lang w:val="fr-FR"/>
        </w:rPr>
        <w:t>s</w:t>
      </w:r>
      <w:r w:rsidR="00173D3D" w:rsidRPr="00173D3D">
        <w:rPr>
          <w:i/>
          <w:iCs/>
          <w:noProof/>
          <w:sz w:val="22"/>
          <w:szCs w:val="22"/>
          <w:lang w:val="fr-FR"/>
        </w:rPr>
        <w:t xml:space="preserve"> qui </w:t>
      </w:r>
      <w:r w:rsidR="00173D3D">
        <w:rPr>
          <w:i/>
          <w:iCs/>
          <w:noProof/>
          <w:sz w:val="22"/>
          <w:szCs w:val="22"/>
          <w:lang w:val="fr-FR"/>
        </w:rPr>
        <w:t>ont</w:t>
      </w:r>
      <w:r w:rsidR="00173D3D" w:rsidRPr="00173D3D">
        <w:rPr>
          <w:i/>
          <w:iCs/>
          <w:noProof/>
          <w:sz w:val="22"/>
          <w:szCs w:val="22"/>
          <w:lang w:val="fr-FR"/>
        </w:rPr>
        <w:t xml:space="preserve"> joué un rôle déterminant dans l'obtention de résultats conformes à nos </w:t>
      </w:r>
      <w:r w:rsidR="00173D3D">
        <w:rPr>
          <w:i/>
          <w:iCs/>
          <w:noProof/>
          <w:sz w:val="22"/>
          <w:szCs w:val="22"/>
          <w:lang w:val="fr-FR"/>
        </w:rPr>
        <w:t>prévision</w:t>
      </w:r>
      <w:r w:rsidR="00173D3D" w:rsidRPr="00173D3D">
        <w:rPr>
          <w:i/>
          <w:iCs/>
          <w:noProof/>
          <w:sz w:val="22"/>
          <w:szCs w:val="22"/>
          <w:lang w:val="fr-FR"/>
        </w:rPr>
        <w:t>s et à notre stratégie</w:t>
      </w:r>
      <w:r w:rsidR="00173D3D">
        <w:rPr>
          <w:i/>
          <w:iCs/>
          <w:noProof/>
          <w:sz w:val="22"/>
          <w:szCs w:val="22"/>
          <w:lang w:val="fr-FR"/>
        </w:rPr>
        <w:t xml:space="preserve"> globale de développement</w:t>
      </w:r>
      <w:r w:rsidR="00173D3D" w:rsidRPr="00173D3D">
        <w:rPr>
          <w:i/>
          <w:iCs/>
          <w:noProof/>
          <w:sz w:val="22"/>
          <w:szCs w:val="22"/>
          <w:lang w:val="fr-FR"/>
        </w:rPr>
        <w:t xml:space="preserve">. En particulier, nous avons franchi une étape importante puisque tous les principaux pays européens sont désormais couverts commercialement, soit directement, soit avec d'excellents partenaires. </w:t>
      </w:r>
      <w:r w:rsidR="00E14231">
        <w:rPr>
          <w:i/>
          <w:iCs/>
          <w:noProof/>
          <w:sz w:val="22"/>
          <w:szCs w:val="22"/>
          <w:lang w:val="fr-FR"/>
        </w:rPr>
        <w:t xml:space="preserve">Ensemble nous avons déjà </w:t>
      </w:r>
      <w:r w:rsidR="00173D3D">
        <w:rPr>
          <w:i/>
          <w:iCs/>
          <w:noProof/>
          <w:sz w:val="22"/>
          <w:szCs w:val="22"/>
          <w:lang w:val="fr-FR"/>
        </w:rPr>
        <w:t xml:space="preserve">enregistré </w:t>
      </w:r>
      <w:r w:rsidR="00173D3D" w:rsidRPr="00173D3D">
        <w:rPr>
          <w:i/>
          <w:iCs/>
          <w:noProof/>
          <w:sz w:val="22"/>
          <w:szCs w:val="22"/>
          <w:lang w:val="fr-FR"/>
        </w:rPr>
        <w:t>des succès significatifs</w:t>
      </w:r>
      <w:r w:rsidR="00173D3D">
        <w:rPr>
          <w:i/>
          <w:iCs/>
          <w:noProof/>
          <w:sz w:val="22"/>
          <w:szCs w:val="22"/>
          <w:lang w:val="fr-FR"/>
        </w:rPr>
        <w:t>,</w:t>
      </w:r>
      <w:r w:rsidR="00173D3D" w:rsidRPr="00173D3D">
        <w:rPr>
          <w:i/>
          <w:iCs/>
          <w:noProof/>
          <w:sz w:val="22"/>
          <w:szCs w:val="22"/>
          <w:lang w:val="fr-FR"/>
        </w:rPr>
        <w:t xml:space="preserve"> tels que les remboursements accordés au Danemark ou en Écosse. </w:t>
      </w:r>
      <w:r w:rsidR="00E14231">
        <w:rPr>
          <w:i/>
          <w:iCs/>
          <w:noProof/>
          <w:sz w:val="22"/>
          <w:szCs w:val="22"/>
          <w:lang w:val="fr-FR"/>
        </w:rPr>
        <w:t>En parallèle</w:t>
      </w:r>
      <w:r w:rsidR="00173D3D" w:rsidRPr="00173D3D">
        <w:rPr>
          <w:i/>
          <w:iCs/>
          <w:noProof/>
          <w:sz w:val="22"/>
          <w:szCs w:val="22"/>
          <w:lang w:val="fr-FR"/>
        </w:rPr>
        <w:t>, nous travaillons à l'amélioration continue de nos processus de fabrication</w:t>
      </w:r>
      <w:r w:rsidR="00E14231">
        <w:rPr>
          <w:i/>
          <w:iCs/>
          <w:noProof/>
          <w:sz w:val="22"/>
          <w:szCs w:val="22"/>
          <w:lang w:val="fr-FR"/>
        </w:rPr>
        <w:t xml:space="preserve"> et à notre trajectoire de réduction des coûts des produits</w:t>
      </w:r>
      <w:r w:rsidR="00173D3D" w:rsidRPr="00173D3D">
        <w:rPr>
          <w:i/>
          <w:iCs/>
          <w:noProof/>
          <w:sz w:val="22"/>
          <w:szCs w:val="22"/>
          <w:lang w:val="fr-FR"/>
        </w:rPr>
        <w:t>. La désignation d'ADV7103 comme médicament orphelin pour l</w:t>
      </w:r>
      <w:r w:rsidR="00173D3D">
        <w:rPr>
          <w:i/>
          <w:iCs/>
          <w:noProof/>
          <w:sz w:val="22"/>
          <w:szCs w:val="22"/>
          <w:lang w:val="fr-FR"/>
        </w:rPr>
        <w:t>’ATRd</w:t>
      </w:r>
      <w:r w:rsidR="00173D3D" w:rsidRPr="00173D3D">
        <w:rPr>
          <w:i/>
          <w:iCs/>
          <w:noProof/>
          <w:sz w:val="22"/>
          <w:szCs w:val="22"/>
          <w:lang w:val="fr-FR"/>
        </w:rPr>
        <w:t xml:space="preserve"> aux Etats-Unis est venue conclure</w:t>
      </w:r>
      <w:r w:rsidR="00173D3D">
        <w:rPr>
          <w:i/>
          <w:iCs/>
          <w:noProof/>
          <w:sz w:val="22"/>
          <w:szCs w:val="22"/>
          <w:lang w:val="fr-FR"/>
        </w:rPr>
        <w:t xml:space="preserve"> magnifiquement</w:t>
      </w:r>
      <w:r w:rsidR="00173D3D" w:rsidRPr="00173D3D">
        <w:rPr>
          <w:i/>
          <w:iCs/>
          <w:noProof/>
          <w:sz w:val="22"/>
          <w:szCs w:val="22"/>
          <w:lang w:val="fr-FR"/>
        </w:rPr>
        <w:t xml:space="preserve"> l'année 2022. Ce</w:t>
      </w:r>
      <w:r w:rsidR="00173D3D">
        <w:rPr>
          <w:i/>
          <w:iCs/>
          <w:noProof/>
          <w:sz w:val="22"/>
          <w:szCs w:val="22"/>
          <w:lang w:val="fr-FR"/>
        </w:rPr>
        <w:t xml:space="preserve"> franchissement d’une</w:t>
      </w:r>
      <w:r w:rsidR="00173D3D" w:rsidRPr="00173D3D">
        <w:rPr>
          <w:i/>
          <w:iCs/>
          <w:noProof/>
          <w:sz w:val="22"/>
          <w:szCs w:val="22"/>
          <w:lang w:val="fr-FR"/>
        </w:rPr>
        <w:t xml:space="preserve"> étape majeure </w:t>
      </w:r>
      <w:r w:rsidR="00173D3D">
        <w:rPr>
          <w:i/>
          <w:iCs/>
          <w:noProof/>
          <w:sz w:val="22"/>
          <w:szCs w:val="22"/>
          <w:lang w:val="fr-FR"/>
        </w:rPr>
        <w:t>est d’une aide précieuse</w:t>
      </w:r>
      <w:r w:rsidR="00173D3D" w:rsidRPr="00173D3D">
        <w:rPr>
          <w:i/>
          <w:iCs/>
          <w:noProof/>
          <w:sz w:val="22"/>
          <w:szCs w:val="22"/>
          <w:lang w:val="fr-FR"/>
        </w:rPr>
        <w:t xml:space="preserve"> dans nos discussions avec des partenaires potentiels </w:t>
      </w:r>
      <w:r w:rsidR="00173D3D">
        <w:rPr>
          <w:i/>
          <w:iCs/>
          <w:noProof/>
          <w:sz w:val="22"/>
          <w:szCs w:val="22"/>
          <w:lang w:val="fr-FR"/>
        </w:rPr>
        <w:t>outre-Atlantique</w:t>
      </w:r>
      <w:r w:rsidR="00173D3D" w:rsidRPr="00173D3D">
        <w:rPr>
          <w:i/>
          <w:iCs/>
          <w:noProof/>
          <w:sz w:val="22"/>
          <w:szCs w:val="22"/>
          <w:lang w:val="fr-FR"/>
        </w:rPr>
        <w:t xml:space="preserve">. </w:t>
      </w:r>
    </w:p>
    <w:p w14:paraId="50696B53" w14:textId="47FB6DEF" w:rsidR="00173D3D" w:rsidRPr="00173D3D" w:rsidRDefault="00173D3D" w:rsidP="00173D3D">
      <w:pPr>
        <w:spacing w:after="0" w:line="240" w:lineRule="auto"/>
        <w:jc w:val="both"/>
        <w:rPr>
          <w:i/>
          <w:iCs/>
          <w:noProof/>
          <w:sz w:val="22"/>
          <w:szCs w:val="22"/>
          <w:lang w:val="fr-FR"/>
        </w:rPr>
      </w:pPr>
      <w:r w:rsidRPr="00173D3D">
        <w:rPr>
          <w:i/>
          <w:iCs/>
          <w:noProof/>
          <w:sz w:val="22"/>
          <w:szCs w:val="22"/>
          <w:lang w:val="fr-FR"/>
        </w:rPr>
        <w:t>En 2023, nous nous attachons à faire de Sibnayal® un succès commercial dans toute l'Europe, grâce à un processus de fabrication amélioré et à un contrôle strict de l'allocation de</w:t>
      </w:r>
      <w:r>
        <w:rPr>
          <w:i/>
          <w:iCs/>
          <w:noProof/>
          <w:sz w:val="22"/>
          <w:szCs w:val="22"/>
          <w:lang w:val="fr-FR"/>
        </w:rPr>
        <w:t xml:space="preserve"> no</w:t>
      </w:r>
      <w:r w:rsidRPr="00173D3D">
        <w:rPr>
          <w:i/>
          <w:iCs/>
          <w:noProof/>
          <w:sz w:val="22"/>
          <w:szCs w:val="22"/>
          <w:lang w:val="fr-FR"/>
        </w:rPr>
        <w:t xml:space="preserve">s ressources. Ces objectifs clairs devraient nous permettre </w:t>
      </w:r>
      <w:r w:rsidR="00E14231">
        <w:rPr>
          <w:i/>
          <w:iCs/>
          <w:noProof/>
          <w:sz w:val="22"/>
          <w:szCs w:val="22"/>
          <w:lang w:val="fr-FR"/>
        </w:rPr>
        <w:t>d’accroître la création de valeur</w:t>
      </w:r>
      <w:r w:rsidRPr="00173D3D">
        <w:rPr>
          <w:i/>
          <w:iCs/>
          <w:noProof/>
          <w:sz w:val="22"/>
          <w:szCs w:val="22"/>
          <w:lang w:val="fr-FR"/>
        </w:rPr>
        <w:t>. Parallèlement, nous continuerons à valoriser ADV7103 aux Etats-Unis en identifiant les voies réglementaires et cliniques les plus efficaces pour l'obtention d</w:t>
      </w:r>
      <w:r>
        <w:rPr>
          <w:i/>
          <w:iCs/>
          <w:noProof/>
          <w:sz w:val="22"/>
          <w:szCs w:val="22"/>
          <w:lang w:val="fr-FR"/>
        </w:rPr>
        <w:t>’un</w:t>
      </w:r>
      <w:r w:rsidRPr="00173D3D">
        <w:rPr>
          <w:i/>
          <w:iCs/>
          <w:noProof/>
          <w:sz w:val="22"/>
          <w:szCs w:val="22"/>
          <w:lang w:val="fr-FR"/>
        </w:rPr>
        <w:t>e autorisation de mise sur le marché.</w:t>
      </w:r>
      <w:r>
        <w:rPr>
          <w:i/>
          <w:iCs/>
          <w:noProof/>
          <w:sz w:val="22"/>
          <w:szCs w:val="22"/>
          <w:lang w:val="fr-FR"/>
        </w:rPr>
        <w:t> »</w:t>
      </w:r>
    </w:p>
    <w:p w14:paraId="77473B0C" w14:textId="77777777" w:rsidR="00173D3D" w:rsidRPr="00173D3D" w:rsidRDefault="00173D3D" w:rsidP="00173D3D">
      <w:pPr>
        <w:spacing w:after="0" w:line="240" w:lineRule="auto"/>
        <w:jc w:val="both"/>
        <w:rPr>
          <w:i/>
          <w:iCs/>
          <w:noProof/>
          <w:sz w:val="22"/>
          <w:szCs w:val="22"/>
          <w:lang w:val="fr-FR"/>
        </w:rPr>
      </w:pPr>
    </w:p>
    <w:p w14:paraId="56611F79" w14:textId="5995D257" w:rsidR="00550DE9" w:rsidRDefault="00550DE9" w:rsidP="00311D8B">
      <w:pPr>
        <w:spacing w:after="0" w:line="240" w:lineRule="auto"/>
        <w:jc w:val="both"/>
        <w:rPr>
          <w:i/>
          <w:iCs/>
          <w:sz w:val="22"/>
          <w:szCs w:val="22"/>
          <w:lang w:val="fr-FR"/>
        </w:rPr>
      </w:pPr>
    </w:p>
    <w:p w14:paraId="63B3481E" w14:textId="6FE2920B" w:rsidR="006E0BDF" w:rsidRDefault="006E0BDF" w:rsidP="00311D8B">
      <w:pPr>
        <w:spacing w:after="0" w:line="240" w:lineRule="auto"/>
        <w:jc w:val="both"/>
        <w:rPr>
          <w:i/>
          <w:iCs/>
          <w:sz w:val="22"/>
          <w:szCs w:val="22"/>
          <w:lang w:val="fr-FR"/>
        </w:rPr>
      </w:pPr>
    </w:p>
    <w:p w14:paraId="6209A675" w14:textId="2743B717" w:rsidR="006E0BDF" w:rsidRDefault="006E0BDF" w:rsidP="00311D8B">
      <w:pPr>
        <w:spacing w:after="0" w:line="240" w:lineRule="auto"/>
        <w:jc w:val="both"/>
        <w:rPr>
          <w:i/>
          <w:iCs/>
          <w:sz w:val="22"/>
          <w:szCs w:val="22"/>
          <w:lang w:val="fr-FR"/>
        </w:rPr>
      </w:pPr>
    </w:p>
    <w:p w14:paraId="6BD3A600" w14:textId="02B46E90" w:rsidR="005E235A" w:rsidRDefault="005E235A">
      <w:pPr>
        <w:spacing w:after="0" w:line="240" w:lineRule="auto"/>
        <w:rPr>
          <w:i/>
          <w:iCs/>
          <w:sz w:val="22"/>
          <w:szCs w:val="22"/>
          <w:lang w:val="fr-FR"/>
        </w:rPr>
      </w:pPr>
      <w:r>
        <w:rPr>
          <w:i/>
          <w:iCs/>
          <w:sz w:val="22"/>
          <w:szCs w:val="22"/>
          <w:lang w:val="fr-FR"/>
        </w:rPr>
        <w:br w:type="page"/>
      </w:r>
    </w:p>
    <w:tbl>
      <w:tblPr>
        <w:tblW w:w="9629" w:type="dxa"/>
        <w:jc w:val="center"/>
        <w:tblCellMar>
          <w:left w:w="70" w:type="dxa"/>
          <w:right w:w="70" w:type="dxa"/>
        </w:tblCellMar>
        <w:tblLook w:val="04A0" w:firstRow="1" w:lastRow="0" w:firstColumn="1" w:lastColumn="0" w:noHBand="0" w:noVBand="1"/>
      </w:tblPr>
      <w:tblGrid>
        <w:gridCol w:w="5072"/>
        <w:gridCol w:w="2289"/>
        <w:gridCol w:w="2268"/>
      </w:tblGrid>
      <w:tr w:rsidR="001F1E47" w:rsidRPr="001F1E47" w14:paraId="6991E90F" w14:textId="77777777" w:rsidTr="007F31B6">
        <w:trPr>
          <w:trHeight w:val="289"/>
          <w:jc w:val="center"/>
        </w:trPr>
        <w:tc>
          <w:tcPr>
            <w:tcW w:w="5072" w:type="dxa"/>
            <w:tcBorders>
              <w:top w:val="single" w:sz="8" w:space="0" w:color="4472C4"/>
              <w:left w:val="single" w:sz="8" w:space="0" w:color="4472C4"/>
              <w:bottom w:val="single" w:sz="8" w:space="0" w:color="4472C4"/>
              <w:right w:val="nil"/>
            </w:tcBorders>
            <w:shd w:val="clear" w:color="000000" w:fill="1118B0"/>
            <w:vAlign w:val="center"/>
            <w:hideMark/>
          </w:tcPr>
          <w:p w14:paraId="19BC9B12" w14:textId="5E5A57C1" w:rsidR="001F1E47" w:rsidRPr="001F1E47" w:rsidRDefault="005C249E" w:rsidP="001F1E47">
            <w:pPr>
              <w:spacing w:after="0" w:line="240" w:lineRule="auto"/>
              <w:jc w:val="both"/>
              <w:rPr>
                <w:rFonts w:ascii="Calibri" w:eastAsia="Times New Roman" w:hAnsi="Calibri" w:cs="Calibri"/>
                <w:b/>
                <w:bCs/>
                <w:color w:val="FFFFFF"/>
                <w:sz w:val="22"/>
                <w:szCs w:val="22"/>
                <w:lang w:val="fr-FR" w:eastAsia="fr-FR"/>
              </w:rPr>
            </w:pPr>
            <w:r>
              <w:rPr>
                <w:rFonts w:ascii="Calibri" w:eastAsia="Times New Roman" w:hAnsi="Calibri" w:cs="Calibri"/>
                <w:b/>
                <w:bCs/>
                <w:color w:val="FFFFFF" w:themeColor="background1"/>
                <w:sz w:val="22"/>
                <w:szCs w:val="22"/>
                <w:lang w:val="fr-FR" w:eastAsia="fr-FR"/>
              </w:rPr>
              <w:lastRenderedPageBreak/>
              <w:t>(</w:t>
            </w:r>
            <w:proofErr w:type="gramStart"/>
            <w:r>
              <w:rPr>
                <w:rFonts w:ascii="Calibri" w:eastAsia="Times New Roman" w:hAnsi="Calibri" w:cs="Calibri"/>
                <w:b/>
                <w:bCs/>
                <w:color w:val="FFFFFF" w:themeColor="background1"/>
                <w:sz w:val="22"/>
                <w:szCs w:val="22"/>
                <w:lang w:val="fr-FR" w:eastAsia="fr-FR"/>
              </w:rPr>
              <w:t>e</w:t>
            </w:r>
            <w:r w:rsidR="001F1E47" w:rsidRPr="001F1E47">
              <w:rPr>
                <w:rFonts w:ascii="Calibri" w:eastAsia="Times New Roman" w:hAnsi="Calibri" w:cs="Calibri"/>
                <w:b/>
                <w:bCs/>
                <w:color w:val="FFFFFF" w:themeColor="background1"/>
                <w:sz w:val="22"/>
                <w:szCs w:val="22"/>
                <w:lang w:val="fr-FR" w:eastAsia="fr-FR"/>
              </w:rPr>
              <w:t>n</w:t>
            </w:r>
            <w:proofErr w:type="gramEnd"/>
            <w:r w:rsidR="001F1E47" w:rsidRPr="001F1E47">
              <w:rPr>
                <w:rFonts w:ascii="Calibri" w:eastAsia="Times New Roman" w:hAnsi="Calibri" w:cs="Calibri"/>
                <w:b/>
                <w:bCs/>
                <w:color w:val="FFFFFF" w:themeColor="background1"/>
                <w:sz w:val="22"/>
                <w:szCs w:val="22"/>
                <w:lang w:val="fr-FR" w:eastAsia="fr-FR"/>
              </w:rPr>
              <w:t xml:space="preserve"> K€</w:t>
            </w:r>
            <w:r>
              <w:rPr>
                <w:rFonts w:ascii="Calibri" w:eastAsia="Times New Roman" w:hAnsi="Calibri" w:cs="Calibri"/>
                <w:b/>
                <w:bCs/>
                <w:color w:val="FFFFFF" w:themeColor="background1"/>
                <w:sz w:val="22"/>
                <w:szCs w:val="22"/>
                <w:lang w:val="fr-FR" w:eastAsia="fr-FR"/>
              </w:rPr>
              <w:t>)</w:t>
            </w:r>
          </w:p>
        </w:tc>
        <w:tc>
          <w:tcPr>
            <w:tcW w:w="2289" w:type="dxa"/>
            <w:tcBorders>
              <w:top w:val="single" w:sz="8" w:space="0" w:color="4472C4"/>
              <w:left w:val="nil"/>
              <w:bottom w:val="single" w:sz="8" w:space="0" w:color="4472C4"/>
              <w:right w:val="nil"/>
            </w:tcBorders>
            <w:shd w:val="clear" w:color="000000" w:fill="1118B0"/>
            <w:vAlign w:val="center"/>
            <w:hideMark/>
          </w:tcPr>
          <w:p w14:paraId="7395D322" w14:textId="40A8DE86" w:rsidR="001F1E47" w:rsidRPr="001F1E47" w:rsidRDefault="001F1E47" w:rsidP="001F1E47">
            <w:pPr>
              <w:spacing w:after="0" w:line="240" w:lineRule="auto"/>
              <w:jc w:val="center"/>
              <w:rPr>
                <w:rFonts w:ascii="Calibri" w:eastAsia="Times New Roman" w:hAnsi="Calibri" w:cs="Calibri"/>
                <w:b/>
                <w:bCs/>
                <w:color w:val="FFFFFF"/>
                <w:sz w:val="22"/>
                <w:szCs w:val="22"/>
                <w:lang w:val="fr-FR" w:eastAsia="fr-FR"/>
              </w:rPr>
            </w:pPr>
            <w:r w:rsidRPr="001F1E47">
              <w:rPr>
                <w:rFonts w:ascii="Calibri" w:eastAsia="Times New Roman" w:hAnsi="Calibri" w:cs="Calibri"/>
                <w:b/>
                <w:bCs/>
                <w:color w:val="FFFFFF" w:themeColor="background1"/>
                <w:sz w:val="22"/>
                <w:szCs w:val="22"/>
                <w:lang w:val="fr-FR" w:eastAsia="fr-FR"/>
              </w:rPr>
              <w:t>31</w:t>
            </w:r>
            <w:r w:rsidR="005C249E">
              <w:rPr>
                <w:rFonts w:ascii="Calibri" w:eastAsia="Times New Roman" w:hAnsi="Calibri" w:cs="Calibri"/>
                <w:b/>
                <w:bCs/>
                <w:color w:val="FFFFFF" w:themeColor="background1"/>
                <w:sz w:val="22"/>
                <w:szCs w:val="22"/>
                <w:lang w:val="fr-FR" w:eastAsia="fr-FR"/>
              </w:rPr>
              <w:t xml:space="preserve"> décembre </w:t>
            </w:r>
            <w:r w:rsidRPr="001F1E47">
              <w:rPr>
                <w:rFonts w:ascii="Calibri" w:eastAsia="Times New Roman" w:hAnsi="Calibri" w:cs="Calibri"/>
                <w:b/>
                <w:bCs/>
                <w:color w:val="FFFFFF" w:themeColor="background1"/>
                <w:sz w:val="22"/>
                <w:szCs w:val="22"/>
                <w:lang w:val="fr-FR" w:eastAsia="fr-FR"/>
              </w:rPr>
              <w:t>202</w:t>
            </w:r>
            <w:r w:rsidR="00173D3D">
              <w:rPr>
                <w:rFonts w:ascii="Calibri" w:eastAsia="Times New Roman" w:hAnsi="Calibri" w:cs="Calibri"/>
                <w:b/>
                <w:bCs/>
                <w:color w:val="FFFFFF" w:themeColor="background1"/>
                <w:sz w:val="22"/>
                <w:szCs w:val="22"/>
                <w:lang w:val="fr-FR" w:eastAsia="fr-FR"/>
              </w:rPr>
              <w:t>2</w:t>
            </w:r>
          </w:p>
        </w:tc>
        <w:tc>
          <w:tcPr>
            <w:tcW w:w="2268" w:type="dxa"/>
            <w:tcBorders>
              <w:top w:val="single" w:sz="8" w:space="0" w:color="4472C4"/>
              <w:left w:val="nil"/>
              <w:bottom w:val="single" w:sz="8" w:space="0" w:color="4472C4"/>
              <w:right w:val="single" w:sz="8" w:space="0" w:color="4472C4"/>
            </w:tcBorders>
            <w:shd w:val="clear" w:color="000000" w:fill="1118B0"/>
            <w:vAlign w:val="center"/>
            <w:hideMark/>
          </w:tcPr>
          <w:p w14:paraId="55D1B823" w14:textId="17933102" w:rsidR="001F1E47" w:rsidRPr="001F1E47" w:rsidRDefault="001F1E47" w:rsidP="001F1E47">
            <w:pPr>
              <w:spacing w:after="0" w:line="240" w:lineRule="auto"/>
              <w:jc w:val="center"/>
              <w:rPr>
                <w:rFonts w:ascii="Calibri" w:eastAsia="Times New Roman" w:hAnsi="Calibri" w:cs="Calibri"/>
                <w:b/>
                <w:bCs/>
                <w:color w:val="FFFFFF"/>
                <w:sz w:val="22"/>
                <w:szCs w:val="22"/>
                <w:lang w:val="fr-FR" w:eastAsia="fr-FR"/>
              </w:rPr>
            </w:pPr>
            <w:r w:rsidRPr="001F1E47">
              <w:rPr>
                <w:rFonts w:ascii="Calibri" w:eastAsia="Times New Roman" w:hAnsi="Calibri" w:cs="Calibri"/>
                <w:b/>
                <w:bCs/>
                <w:color w:val="FFFFFF" w:themeColor="background1"/>
                <w:sz w:val="22"/>
                <w:szCs w:val="22"/>
                <w:lang w:val="fr-FR" w:eastAsia="fr-FR"/>
              </w:rPr>
              <w:t>31</w:t>
            </w:r>
            <w:r w:rsidR="005C249E">
              <w:rPr>
                <w:rFonts w:ascii="Calibri" w:eastAsia="Times New Roman" w:hAnsi="Calibri" w:cs="Calibri"/>
                <w:b/>
                <w:bCs/>
                <w:color w:val="FFFFFF" w:themeColor="background1"/>
                <w:sz w:val="22"/>
                <w:szCs w:val="22"/>
                <w:lang w:val="fr-FR" w:eastAsia="fr-FR"/>
              </w:rPr>
              <w:t xml:space="preserve"> décembre </w:t>
            </w:r>
            <w:r w:rsidRPr="001F1E47">
              <w:rPr>
                <w:rFonts w:ascii="Calibri" w:eastAsia="Times New Roman" w:hAnsi="Calibri" w:cs="Calibri"/>
                <w:b/>
                <w:bCs/>
                <w:color w:val="FFFFFF" w:themeColor="background1"/>
                <w:sz w:val="22"/>
                <w:szCs w:val="22"/>
                <w:lang w:val="fr-FR" w:eastAsia="fr-FR"/>
              </w:rPr>
              <w:t>202</w:t>
            </w:r>
            <w:r w:rsidR="00173D3D">
              <w:rPr>
                <w:rFonts w:ascii="Calibri" w:eastAsia="Times New Roman" w:hAnsi="Calibri" w:cs="Calibri"/>
                <w:b/>
                <w:bCs/>
                <w:color w:val="FFFFFF" w:themeColor="background1"/>
                <w:sz w:val="22"/>
                <w:szCs w:val="22"/>
                <w:lang w:val="fr-FR" w:eastAsia="fr-FR"/>
              </w:rPr>
              <w:t>1</w:t>
            </w:r>
          </w:p>
        </w:tc>
      </w:tr>
      <w:tr w:rsidR="001F1E47" w:rsidRPr="001F1E47" w14:paraId="1A2EB3BB"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hideMark/>
          </w:tcPr>
          <w:p w14:paraId="1DA6D631" w14:textId="5380CD43" w:rsidR="001F1E47" w:rsidRPr="00173D3D" w:rsidRDefault="00173D3D" w:rsidP="001F1E47">
            <w:pPr>
              <w:spacing w:after="0" w:line="240" w:lineRule="auto"/>
              <w:jc w:val="both"/>
              <w:rPr>
                <w:rFonts w:ascii="Calibri" w:eastAsia="Times New Roman" w:hAnsi="Calibri" w:cs="Calibri"/>
                <w:b/>
                <w:bCs/>
                <w:color w:val="000000"/>
                <w:sz w:val="22"/>
                <w:szCs w:val="22"/>
                <w:lang w:val="fr-FR" w:eastAsia="fr-FR"/>
              </w:rPr>
            </w:pPr>
            <w:r w:rsidRPr="00173D3D">
              <w:rPr>
                <w:rFonts w:ascii="Calibri" w:eastAsia="Times New Roman" w:hAnsi="Calibri" w:cs="Calibri"/>
                <w:b/>
                <w:bCs/>
                <w:sz w:val="22"/>
                <w:szCs w:val="22"/>
                <w:lang w:val="fr-FR" w:eastAsia="fr-FR"/>
              </w:rPr>
              <w:t xml:space="preserve">Ventes </w:t>
            </w:r>
            <w:r w:rsidR="00912AF4">
              <w:rPr>
                <w:rFonts w:ascii="Calibri" w:eastAsia="Times New Roman" w:hAnsi="Calibri" w:cs="Calibri"/>
                <w:b/>
                <w:bCs/>
                <w:sz w:val="22"/>
                <w:szCs w:val="22"/>
                <w:lang w:val="fr-FR" w:eastAsia="fr-FR"/>
              </w:rPr>
              <w:t>brutes</w:t>
            </w:r>
            <w:r w:rsidRPr="00173D3D">
              <w:rPr>
                <w:rFonts w:ascii="Calibri" w:eastAsia="Times New Roman" w:hAnsi="Calibri" w:cs="Calibri"/>
                <w:b/>
                <w:bCs/>
                <w:sz w:val="22"/>
                <w:szCs w:val="22"/>
                <w:vertAlign w:val="superscript"/>
                <w:lang w:val="fr-FR" w:eastAsia="fr-FR"/>
              </w:rPr>
              <w:t>1</w:t>
            </w:r>
          </w:p>
        </w:tc>
        <w:tc>
          <w:tcPr>
            <w:tcW w:w="2289" w:type="dxa"/>
            <w:tcBorders>
              <w:top w:val="nil"/>
              <w:left w:val="nil"/>
              <w:bottom w:val="single" w:sz="8" w:space="0" w:color="8EAADB"/>
              <w:right w:val="single" w:sz="8" w:space="0" w:color="8EAADB"/>
            </w:tcBorders>
            <w:shd w:val="clear" w:color="000000" w:fill="D9E2F3"/>
            <w:vAlign w:val="center"/>
            <w:hideMark/>
          </w:tcPr>
          <w:p w14:paraId="2473E54D" w14:textId="3F342789" w:rsidR="001F1E47" w:rsidRPr="001F1E47" w:rsidRDefault="001F1E47" w:rsidP="001F1E47">
            <w:pPr>
              <w:spacing w:after="0" w:line="240" w:lineRule="auto"/>
              <w:jc w:val="center"/>
              <w:rPr>
                <w:rFonts w:ascii="Calibri" w:eastAsia="Times New Roman" w:hAnsi="Calibri" w:cs="Calibri"/>
                <w:b/>
                <w:bCs/>
                <w:color w:val="000000"/>
                <w:sz w:val="22"/>
                <w:szCs w:val="22"/>
                <w:lang w:val="fr-FR" w:eastAsia="fr-FR"/>
              </w:rPr>
            </w:pPr>
            <w:r w:rsidRPr="001F1E47">
              <w:rPr>
                <w:rFonts w:ascii="Calibri" w:eastAsia="Times New Roman" w:hAnsi="Calibri" w:cs="Calibri"/>
                <w:b/>
                <w:bCs/>
                <w:sz w:val="22"/>
                <w:szCs w:val="22"/>
                <w:lang w:val="fr-FR" w:eastAsia="fr-FR"/>
              </w:rPr>
              <w:t>3 7</w:t>
            </w:r>
            <w:r w:rsidR="00173D3D">
              <w:rPr>
                <w:rFonts w:ascii="Calibri" w:eastAsia="Times New Roman" w:hAnsi="Calibri" w:cs="Calibri"/>
                <w:b/>
                <w:bCs/>
                <w:sz w:val="22"/>
                <w:szCs w:val="22"/>
                <w:lang w:val="fr-FR" w:eastAsia="fr-FR"/>
              </w:rPr>
              <w:t>15</w:t>
            </w:r>
          </w:p>
        </w:tc>
        <w:tc>
          <w:tcPr>
            <w:tcW w:w="2268" w:type="dxa"/>
            <w:tcBorders>
              <w:top w:val="nil"/>
              <w:left w:val="nil"/>
              <w:bottom w:val="single" w:sz="8" w:space="0" w:color="8EAADB"/>
              <w:right w:val="single" w:sz="8" w:space="0" w:color="8EAADB"/>
            </w:tcBorders>
            <w:shd w:val="clear" w:color="000000" w:fill="D9E2F3"/>
            <w:vAlign w:val="center"/>
            <w:hideMark/>
          </w:tcPr>
          <w:p w14:paraId="0D308A1A" w14:textId="5F23EE84" w:rsidR="001F1E47" w:rsidRPr="001F1E47" w:rsidRDefault="001F1E47" w:rsidP="001F1E47">
            <w:pPr>
              <w:spacing w:after="0" w:line="240" w:lineRule="auto"/>
              <w:jc w:val="center"/>
              <w:rPr>
                <w:rFonts w:ascii="Calibri" w:eastAsia="Times New Roman" w:hAnsi="Calibri" w:cs="Calibri"/>
                <w:b/>
                <w:bCs/>
                <w:color w:val="000000"/>
                <w:sz w:val="22"/>
                <w:szCs w:val="22"/>
                <w:lang w:val="fr-FR" w:eastAsia="fr-FR"/>
              </w:rPr>
            </w:pPr>
            <w:r w:rsidRPr="001F1E47">
              <w:rPr>
                <w:rFonts w:ascii="Calibri" w:eastAsia="Times New Roman" w:hAnsi="Calibri" w:cs="Calibri"/>
                <w:b/>
                <w:bCs/>
                <w:sz w:val="22"/>
                <w:szCs w:val="22"/>
                <w:lang w:val="fr-FR" w:eastAsia="fr-FR"/>
              </w:rPr>
              <w:t xml:space="preserve">3 </w:t>
            </w:r>
            <w:r w:rsidR="00173D3D">
              <w:rPr>
                <w:rFonts w:ascii="Calibri" w:eastAsia="Times New Roman" w:hAnsi="Calibri" w:cs="Calibri"/>
                <w:b/>
                <w:bCs/>
                <w:sz w:val="22"/>
                <w:szCs w:val="22"/>
                <w:lang w:val="fr-FR" w:eastAsia="fr-FR"/>
              </w:rPr>
              <w:t>261</w:t>
            </w:r>
          </w:p>
        </w:tc>
      </w:tr>
      <w:tr w:rsidR="00173D3D" w:rsidRPr="001F1E47" w14:paraId="4712A226"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tcPr>
          <w:p w14:paraId="2F0768B7" w14:textId="34EC7EAD" w:rsidR="00173D3D" w:rsidRPr="00A322EC" w:rsidRDefault="00173D3D" w:rsidP="001F1E47">
            <w:pPr>
              <w:spacing w:after="0" w:line="240" w:lineRule="auto"/>
              <w:jc w:val="both"/>
              <w:rPr>
                <w:rFonts w:ascii="Calibri" w:eastAsia="Times New Roman" w:hAnsi="Calibri" w:cs="Calibri"/>
                <w:i/>
                <w:iCs/>
                <w:sz w:val="22"/>
                <w:szCs w:val="22"/>
                <w:lang w:val="fr-FR" w:eastAsia="fr-FR"/>
              </w:rPr>
            </w:pPr>
            <w:proofErr w:type="gramStart"/>
            <w:r w:rsidRPr="00173D3D">
              <w:rPr>
                <w:rFonts w:ascii="Calibri" w:eastAsia="Times New Roman" w:hAnsi="Calibri" w:cs="Calibri"/>
                <w:i/>
                <w:iCs/>
                <w:sz w:val="22"/>
                <w:szCs w:val="22"/>
                <w:lang w:val="fr-FR" w:eastAsia="fr-FR"/>
              </w:rPr>
              <w:t>dont</w:t>
            </w:r>
            <w:proofErr w:type="gramEnd"/>
            <w:r w:rsidRPr="00173D3D">
              <w:rPr>
                <w:rFonts w:ascii="Calibri" w:eastAsia="Times New Roman" w:hAnsi="Calibri" w:cs="Calibri"/>
                <w:i/>
                <w:iCs/>
                <w:sz w:val="22"/>
                <w:szCs w:val="22"/>
                <w:lang w:val="fr-FR" w:eastAsia="fr-FR"/>
              </w:rPr>
              <w:t xml:space="preserve"> ventes </w:t>
            </w:r>
            <w:r w:rsidR="00912AF4">
              <w:rPr>
                <w:rFonts w:ascii="Calibri" w:eastAsia="Times New Roman" w:hAnsi="Calibri" w:cs="Calibri"/>
                <w:i/>
                <w:iCs/>
                <w:sz w:val="22"/>
                <w:szCs w:val="22"/>
                <w:lang w:val="fr-FR" w:eastAsia="fr-FR"/>
              </w:rPr>
              <w:t xml:space="preserve">brutes </w:t>
            </w:r>
            <w:r w:rsidRPr="00173D3D">
              <w:rPr>
                <w:rFonts w:ascii="Calibri" w:eastAsia="Times New Roman" w:hAnsi="Calibri" w:cs="Calibri"/>
                <w:i/>
                <w:iCs/>
                <w:sz w:val="22"/>
                <w:szCs w:val="22"/>
                <w:lang w:val="fr-FR" w:eastAsia="fr-FR"/>
              </w:rPr>
              <w:t xml:space="preserve">de </w:t>
            </w:r>
            <w:r w:rsidRPr="007F31B6">
              <w:rPr>
                <w:rFonts w:ascii="Calibri" w:hAnsi="Calibri" w:cs="Calibri"/>
                <w:i/>
                <w:iCs/>
                <w:color w:val="000000"/>
                <w:sz w:val="22"/>
                <w:szCs w:val="22"/>
                <w:lang w:val="fr-FR"/>
              </w:rPr>
              <w:t>Sibnayal</w:t>
            </w:r>
            <w:r w:rsidR="00A322EC">
              <w:rPr>
                <w:rFonts w:ascii="Calibri" w:hAnsi="Calibri" w:cs="Calibri"/>
                <w:i/>
                <w:iCs/>
                <w:color w:val="000000"/>
                <w:sz w:val="22"/>
                <w:szCs w:val="22"/>
                <w:lang w:val="fr-FR"/>
              </w:rPr>
              <w:t>®</w:t>
            </w:r>
          </w:p>
        </w:tc>
        <w:tc>
          <w:tcPr>
            <w:tcW w:w="2289" w:type="dxa"/>
            <w:tcBorders>
              <w:top w:val="nil"/>
              <w:left w:val="nil"/>
              <w:bottom w:val="single" w:sz="8" w:space="0" w:color="8EAADB"/>
              <w:right w:val="single" w:sz="8" w:space="0" w:color="8EAADB"/>
            </w:tcBorders>
            <w:shd w:val="clear" w:color="auto" w:fill="auto"/>
            <w:vAlign w:val="center"/>
          </w:tcPr>
          <w:p w14:paraId="4A48F24C" w14:textId="153B632B" w:rsidR="00173D3D" w:rsidRPr="00173D3D" w:rsidRDefault="00173D3D" w:rsidP="001F1E47">
            <w:pPr>
              <w:spacing w:after="0" w:line="240" w:lineRule="auto"/>
              <w:jc w:val="center"/>
              <w:rPr>
                <w:rFonts w:ascii="Calibri" w:eastAsia="Times New Roman" w:hAnsi="Calibri" w:cs="Calibri"/>
                <w:i/>
                <w:iCs/>
                <w:sz w:val="22"/>
                <w:szCs w:val="22"/>
                <w:lang w:val="fr-FR" w:eastAsia="fr-FR"/>
              </w:rPr>
            </w:pPr>
            <w:r w:rsidRPr="00173D3D">
              <w:rPr>
                <w:rFonts w:ascii="Calibri" w:eastAsia="Times New Roman" w:hAnsi="Calibri" w:cs="Calibri"/>
                <w:i/>
                <w:iCs/>
                <w:sz w:val="22"/>
                <w:szCs w:val="22"/>
                <w:lang w:val="fr-FR" w:eastAsia="fr-FR"/>
              </w:rPr>
              <w:t>1 410</w:t>
            </w:r>
          </w:p>
        </w:tc>
        <w:tc>
          <w:tcPr>
            <w:tcW w:w="2268" w:type="dxa"/>
            <w:tcBorders>
              <w:top w:val="nil"/>
              <w:left w:val="nil"/>
              <w:bottom w:val="single" w:sz="8" w:space="0" w:color="8EAADB"/>
              <w:right w:val="single" w:sz="8" w:space="0" w:color="8EAADB"/>
            </w:tcBorders>
            <w:shd w:val="clear" w:color="auto" w:fill="auto"/>
            <w:vAlign w:val="center"/>
          </w:tcPr>
          <w:p w14:paraId="6B8421D4" w14:textId="7670CCCE" w:rsidR="00173D3D" w:rsidRPr="00173D3D" w:rsidRDefault="00173D3D" w:rsidP="001F1E47">
            <w:pPr>
              <w:spacing w:after="0" w:line="240" w:lineRule="auto"/>
              <w:jc w:val="center"/>
              <w:rPr>
                <w:rFonts w:ascii="Calibri" w:eastAsia="Times New Roman" w:hAnsi="Calibri" w:cs="Calibri"/>
                <w:i/>
                <w:iCs/>
                <w:sz w:val="22"/>
                <w:szCs w:val="22"/>
                <w:lang w:val="fr-FR" w:eastAsia="fr-FR"/>
              </w:rPr>
            </w:pPr>
            <w:r w:rsidRPr="00173D3D">
              <w:rPr>
                <w:rFonts w:ascii="Calibri" w:eastAsia="Times New Roman" w:hAnsi="Calibri" w:cs="Calibri"/>
                <w:i/>
                <w:iCs/>
                <w:sz w:val="22"/>
                <w:szCs w:val="22"/>
                <w:lang w:val="fr-FR" w:eastAsia="fr-FR"/>
              </w:rPr>
              <w:t>981</w:t>
            </w:r>
          </w:p>
        </w:tc>
      </w:tr>
      <w:tr w:rsidR="00173D3D" w:rsidRPr="001F1E47" w14:paraId="5684864A"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tcPr>
          <w:p w14:paraId="42F46BF5" w14:textId="77777777" w:rsidR="00173D3D" w:rsidRPr="00173D3D" w:rsidRDefault="00173D3D" w:rsidP="001F1E47">
            <w:pPr>
              <w:spacing w:after="0" w:line="240" w:lineRule="auto"/>
              <w:jc w:val="both"/>
              <w:rPr>
                <w:rFonts w:ascii="Calibri" w:eastAsia="Times New Roman" w:hAnsi="Calibri" w:cs="Calibri"/>
                <w:b/>
                <w:bCs/>
                <w:sz w:val="22"/>
                <w:szCs w:val="22"/>
                <w:lang w:val="fr-FR" w:eastAsia="fr-FR"/>
              </w:rPr>
            </w:pPr>
          </w:p>
        </w:tc>
        <w:tc>
          <w:tcPr>
            <w:tcW w:w="2289" w:type="dxa"/>
            <w:tcBorders>
              <w:top w:val="nil"/>
              <w:left w:val="nil"/>
              <w:bottom w:val="single" w:sz="8" w:space="0" w:color="8EAADB"/>
              <w:right w:val="single" w:sz="8" w:space="0" w:color="8EAADB"/>
            </w:tcBorders>
            <w:shd w:val="clear" w:color="auto" w:fill="auto"/>
            <w:vAlign w:val="center"/>
          </w:tcPr>
          <w:p w14:paraId="35DE7FBB" w14:textId="77777777" w:rsidR="00173D3D" w:rsidRPr="001F1E47" w:rsidRDefault="00173D3D" w:rsidP="001F1E47">
            <w:pPr>
              <w:spacing w:after="0" w:line="240" w:lineRule="auto"/>
              <w:jc w:val="center"/>
              <w:rPr>
                <w:rFonts w:ascii="Calibri" w:eastAsia="Times New Roman" w:hAnsi="Calibri" w:cs="Calibri"/>
                <w:b/>
                <w:bCs/>
                <w:sz w:val="22"/>
                <w:szCs w:val="22"/>
                <w:lang w:val="fr-FR" w:eastAsia="fr-FR"/>
              </w:rPr>
            </w:pPr>
          </w:p>
        </w:tc>
        <w:tc>
          <w:tcPr>
            <w:tcW w:w="2268" w:type="dxa"/>
            <w:tcBorders>
              <w:top w:val="nil"/>
              <w:left w:val="nil"/>
              <w:bottom w:val="single" w:sz="8" w:space="0" w:color="8EAADB"/>
              <w:right w:val="single" w:sz="8" w:space="0" w:color="8EAADB"/>
            </w:tcBorders>
            <w:shd w:val="clear" w:color="auto" w:fill="auto"/>
            <w:vAlign w:val="center"/>
          </w:tcPr>
          <w:p w14:paraId="33D6E7B9" w14:textId="77777777" w:rsidR="00173D3D" w:rsidRPr="001F1E47" w:rsidRDefault="00173D3D" w:rsidP="001F1E47">
            <w:pPr>
              <w:spacing w:after="0" w:line="240" w:lineRule="auto"/>
              <w:jc w:val="center"/>
              <w:rPr>
                <w:rFonts w:ascii="Calibri" w:eastAsia="Times New Roman" w:hAnsi="Calibri" w:cs="Calibri"/>
                <w:b/>
                <w:bCs/>
                <w:sz w:val="22"/>
                <w:szCs w:val="22"/>
                <w:lang w:val="fr-FR" w:eastAsia="fr-FR"/>
              </w:rPr>
            </w:pPr>
          </w:p>
        </w:tc>
      </w:tr>
      <w:tr w:rsidR="00173D3D" w:rsidRPr="00173D3D" w14:paraId="26F68E17"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tcPr>
          <w:p w14:paraId="2AD06124" w14:textId="105B95A1" w:rsidR="00173D3D" w:rsidRPr="00173D3D" w:rsidRDefault="00173D3D" w:rsidP="001F1E47">
            <w:pPr>
              <w:spacing w:after="0" w:line="240" w:lineRule="auto"/>
              <w:jc w:val="both"/>
              <w:rPr>
                <w:rFonts w:ascii="Calibri" w:eastAsia="Times New Roman" w:hAnsi="Calibri" w:cs="Calibri"/>
                <w:b/>
                <w:bCs/>
                <w:sz w:val="22"/>
                <w:szCs w:val="22"/>
                <w:lang w:val="fr-FR" w:eastAsia="fr-FR"/>
              </w:rPr>
            </w:pPr>
            <w:r w:rsidRPr="00173D3D">
              <w:rPr>
                <w:rFonts w:ascii="Calibri" w:eastAsia="Times New Roman" w:hAnsi="Calibri" w:cs="Calibri"/>
                <w:b/>
                <w:bCs/>
                <w:sz w:val="22"/>
                <w:szCs w:val="22"/>
                <w:lang w:val="fr-FR" w:eastAsia="fr-FR"/>
              </w:rPr>
              <w:t xml:space="preserve">Total des revenus </w:t>
            </w:r>
            <w:r w:rsidR="00522067">
              <w:rPr>
                <w:rFonts w:ascii="Calibri" w:eastAsia="Times New Roman" w:hAnsi="Calibri" w:cs="Calibri"/>
                <w:b/>
                <w:bCs/>
                <w:sz w:val="22"/>
                <w:szCs w:val="22"/>
                <w:lang w:val="fr-FR" w:eastAsia="fr-FR"/>
              </w:rPr>
              <w:t>et autres produits</w:t>
            </w:r>
          </w:p>
        </w:tc>
        <w:tc>
          <w:tcPr>
            <w:tcW w:w="2289" w:type="dxa"/>
            <w:tcBorders>
              <w:top w:val="nil"/>
              <w:left w:val="nil"/>
              <w:bottom w:val="single" w:sz="8" w:space="0" w:color="8EAADB"/>
              <w:right w:val="single" w:sz="8" w:space="0" w:color="8EAADB"/>
            </w:tcBorders>
            <w:shd w:val="clear" w:color="auto" w:fill="auto"/>
            <w:vAlign w:val="center"/>
          </w:tcPr>
          <w:p w14:paraId="172B78B3" w14:textId="15216D5D" w:rsidR="00173D3D" w:rsidRPr="001F1E47" w:rsidRDefault="00173D3D" w:rsidP="001F1E47">
            <w:pPr>
              <w:spacing w:after="0" w:line="240" w:lineRule="auto"/>
              <w:jc w:val="center"/>
              <w:rPr>
                <w:rFonts w:ascii="Calibri" w:eastAsia="Times New Roman" w:hAnsi="Calibri" w:cs="Calibri"/>
                <w:b/>
                <w:bCs/>
                <w:sz w:val="22"/>
                <w:szCs w:val="22"/>
                <w:lang w:val="fr-FR" w:eastAsia="fr-FR"/>
              </w:rPr>
            </w:pPr>
            <w:r>
              <w:rPr>
                <w:rFonts w:ascii="Calibri" w:eastAsia="Times New Roman" w:hAnsi="Calibri" w:cs="Calibri"/>
                <w:b/>
                <w:bCs/>
                <w:sz w:val="22"/>
                <w:szCs w:val="22"/>
                <w:lang w:val="fr-FR" w:eastAsia="fr-FR"/>
              </w:rPr>
              <w:t>3 008</w:t>
            </w:r>
          </w:p>
        </w:tc>
        <w:tc>
          <w:tcPr>
            <w:tcW w:w="2268" w:type="dxa"/>
            <w:tcBorders>
              <w:top w:val="nil"/>
              <w:left w:val="nil"/>
              <w:bottom w:val="single" w:sz="8" w:space="0" w:color="8EAADB"/>
              <w:right w:val="single" w:sz="8" w:space="0" w:color="8EAADB"/>
            </w:tcBorders>
            <w:shd w:val="clear" w:color="auto" w:fill="auto"/>
            <w:vAlign w:val="center"/>
          </w:tcPr>
          <w:p w14:paraId="79C21D9A" w14:textId="3E6D3359" w:rsidR="00173D3D" w:rsidRPr="001F1E47" w:rsidRDefault="00173D3D" w:rsidP="001F1E47">
            <w:pPr>
              <w:spacing w:after="0" w:line="240" w:lineRule="auto"/>
              <w:jc w:val="center"/>
              <w:rPr>
                <w:rFonts w:ascii="Calibri" w:eastAsia="Times New Roman" w:hAnsi="Calibri" w:cs="Calibri"/>
                <w:b/>
                <w:bCs/>
                <w:sz w:val="22"/>
                <w:szCs w:val="22"/>
                <w:lang w:val="fr-FR" w:eastAsia="fr-FR"/>
              </w:rPr>
            </w:pPr>
            <w:r>
              <w:rPr>
                <w:rFonts w:ascii="Calibri" w:eastAsia="Times New Roman" w:hAnsi="Calibri" w:cs="Calibri"/>
                <w:b/>
                <w:bCs/>
                <w:sz w:val="22"/>
                <w:szCs w:val="22"/>
                <w:lang w:val="fr-FR" w:eastAsia="fr-FR"/>
              </w:rPr>
              <w:t>3 766</w:t>
            </w:r>
          </w:p>
        </w:tc>
      </w:tr>
      <w:tr w:rsidR="00173D3D" w:rsidRPr="00173D3D" w14:paraId="3BBB80EA"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tcPr>
          <w:p w14:paraId="0B98985A" w14:textId="019F3327" w:rsidR="00173D3D" w:rsidRPr="00173D3D" w:rsidRDefault="00173D3D" w:rsidP="001F1E47">
            <w:pPr>
              <w:spacing w:after="0" w:line="240" w:lineRule="auto"/>
              <w:jc w:val="both"/>
              <w:rPr>
                <w:rFonts w:ascii="Calibri" w:eastAsia="Times New Roman" w:hAnsi="Calibri" w:cs="Calibri"/>
                <w:i/>
                <w:iCs/>
                <w:sz w:val="22"/>
                <w:szCs w:val="22"/>
                <w:lang w:val="fr-FR" w:eastAsia="fr-FR"/>
              </w:rPr>
            </w:pPr>
            <w:proofErr w:type="gramStart"/>
            <w:r w:rsidRPr="00173D3D">
              <w:rPr>
                <w:rFonts w:ascii="Calibri" w:eastAsia="Times New Roman" w:hAnsi="Calibri" w:cs="Calibri"/>
                <w:i/>
                <w:iCs/>
                <w:sz w:val="22"/>
                <w:szCs w:val="22"/>
                <w:lang w:val="fr-FR" w:eastAsia="fr-FR"/>
              </w:rPr>
              <w:t>dont</w:t>
            </w:r>
            <w:proofErr w:type="gramEnd"/>
            <w:r w:rsidRPr="00173D3D">
              <w:rPr>
                <w:rFonts w:ascii="Calibri" w:eastAsia="Times New Roman" w:hAnsi="Calibri" w:cs="Calibri"/>
                <w:i/>
                <w:iCs/>
                <w:sz w:val="22"/>
                <w:szCs w:val="22"/>
                <w:lang w:val="fr-FR" w:eastAsia="fr-FR"/>
              </w:rPr>
              <w:t xml:space="preserve"> </w:t>
            </w:r>
            <w:r w:rsidR="00522067">
              <w:rPr>
                <w:rFonts w:ascii="Calibri" w:eastAsia="Times New Roman" w:hAnsi="Calibri" w:cs="Calibri"/>
                <w:i/>
                <w:iCs/>
                <w:sz w:val="22"/>
                <w:szCs w:val="22"/>
                <w:lang w:val="fr-FR" w:eastAsia="fr-FR"/>
              </w:rPr>
              <w:t>revenus</w:t>
            </w:r>
            <w:r w:rsidR="00522067" w:rsidRPr="00173D3D">
              <w:rPr>
                <w:rFonts w:ascii="Calibri" w:eastAsia="Times New Roman" w:hAnsi="Calibri" w:cs="Calibri"/>
                <w:i/>
                <w:iCs/>
                <w:sz w:val="22"/>
                <w:szCs w:val="22"/>
                <w:lang w:val="fr-FR" w:eastAsia="fr-FR"/>
              </w:rPr>
              <w:t xml:space="preserve"> </w:t>
            </w:r>
            <w:r w:rsidRPr="00173D3D">
              <w:rPr>
                <w:rFonts w:ascii="Calibri" w:eastAsia="Times New Roman" w:hAnsi="Calibri" w:cs="Calibri"/>
                <w:i/>
                <w:iCs/>
                <w:sz w:val="22"/>
                <w:szCs w:val="22"/>
                <w:lang w:val="fr-FR" w:eastAsia="fr-FR"/>
              </w:rPr>
              <w:t>de Sibnayal</w:t>
            </w:r>
            <w:r w:rsidR="00A322EC">
              <w:rPr>
                <w:rFonts w:ascii="Calibri" w:eastAsia="Times New Roman" w:hAnsi="Calibri" w:cs="Calibri"/>
                <w:i/>
                <w:iCs/>
                <w:sz w:val="22"/>
                <w:szCs w:val="22"/>
                <w:lang w:val="fr-FR" w:eastAsia="fr-FR"/>
              </w:rPr>
              <w:t>®</w:t>
            </w:r>
          </w:p>
        </w:tc>
        <w:tc>
          <w:tcPr>
            <w:tcW w:w="2289" w:type="dxa"/>
            <w:tcBorders>
              <w:top w:val="nil"/>
              <w:left w:val="nil"/>
              <w:bottom w:val="single" w:sz="8" w:space="0" w:color="8EAADB"/>
              <w:right w:val="single" w:sz="8" w:space="0" w:color="8EAADB"/>
            </w:tcBorders>
            <w:shd w:val="clear" w:color="auto" w:fill="auto"/>
            <w:vAlign w:val="center"/>
          </w:tcPr>
          <w:p w14:paraId="78195D9A" w14:textId="423CD8D4" w:rsidR="00173D3D" w:rsidRPr="007F31B6" w:rsidRDefault="00173D3D" w:rsidP="001F1E47">
            <w:pPr>
              <w:spacing w:after="0" w:line="240" w:lineRule="auto"/>
              <w:jc w:val="center"/>
              <w:rPr>
                <w:rFonts w:ascii="Calibri" w:eastAsia="Times New Roman" w:hAnsi="Calibri" w:cs="Calibri"/>
                <w:i/>
                <w:iCs/>
                <w:sz w:val="22"/>
                <w:szCs w:val="22"/>
                <w:lang w:val="fr-FR" w:eastAsia="fr-FR"/>
              </w:rPr>
            </w:pPr>
            <w:r w:rsidRPr="007F31B6">
              <w:rPr>
                <w:rFonts w:ascii="Calibri" w:eastAsia="Times New Roman" w:hAnsi="Calibri" w:cs="Calibri"/>
                <w:i/>
                <w:iCs/>
                <w:sz w:val="22"/>
                <w:szCs w:val="22"/>
                <w:lang w:val="fr-FR" w:eastAsia="fr-FR"/>
              </w:rPr>
              <w:t>1 053</w:t>
            </w:r>
          </w:p>
        </w:tc>
        <w:tc>
          <w:tcPr>
            <w:tcW w:w="2268" w:type="dxa"/>
            <w:tcBorders>
              <w:top w:val="nil"/>
              <w:left w:val="nil"/>
              <w:bottom w:val="single" w:sz="8" w:space="0" w:color="8EAADB"/>
              <w:right w:val="single" w:sz="8" w:space="0" w:color="8EAADB"/>
            </w:tcBorders>
            <w:shd w:val="clear" w:color="auto" w:fill="auto"/>
            <w:vAlign w:val="center"/>
          </w:tcPr>
          <w:p w14:paraId="0028E3E5" w14:textId="3780FCB0" w:rsidR="00173D3D" w:rsidRPr="007F31B6" w:rsidRDefault="00173D3D" w:rsidP="001F1E47">
            <w:pPr>
              <w:spacing w:after="0" w:line="240" w:lineRule="auto"/>
              <w:jc w:val="center"/>
              <w:rPr>
                <w:rFonts w:ascii="Calibri" w:eastAsia="Times New Roman" w:hAnsi="Calibri" w:cs="Calibri"/>
                <w:i/>
                <w:iCs/>
                <w:sz w:val="22"/>
                <w:szCs w:val="22"/>
                <w:lang w:val="fr-FR" w:eastAsia="fr-FR"/>
              </w:rPr>
            </w:pPr>
            <w:r w:rsidRPr="007F31B6">
              <w:rPr>
                <w:rFonts w:ascii="Calibri" w:eastAsia="Times New Roman" w:hAnsi="Calibri" w:cs="Calibri"/>
                <w:i/>
                <w:iCs/>
                <w:sz w:val="22"/>
                <w:szCs w:val="22"/>
                <w:lang w:val="fr-FR" w:eastAsia="fr-FR"/>
              </w:rPr>
              <w:t>880</w:t>
            </w:r>
          </w:p>
        </w:tc>
      </w:tr>
      <w:tr w:rsidR="00173D3D" w:rsidRPr="001F1E47" w14:paraId="7492254B"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tcPr>
          <w:p w14:paraId="63A102FA" w14:textId="3C1F2AD6" w:rsidR="00173D3D" w:rsidRPr="00173D3D" w:rsidRDefault="00173D3D" w:rsidP="001F1E47">
            <w:pPr>
              <w:spacing w:after="0" w:line="240" w:lineRule="auto"/>
              <w:jc w:val="both"/>
              <w:rPr>
                <w:rFonts w:ascii="Calibri" w:eastAsia="Times New Roman" w:hAnsi="Calibri" w:cs="Calibri"/>
                <w:i/>
                <w:iCs/>
                <w:sz w:val="22"/>
                <w:szCs w:val="22"/>
                <w:lang w:val="fr-FR" w:eastAsia="fr-FR"/>
              </w:rPr>
            </w:pPr>
            <w:proofErr w:type="gramStart"/>
            <w:r w:rsidRPr="00173D3D">
              <w:rPr>
                <w:rFonts w:ascii="Calibri" w:eastAsia="Times New Roman" w:hAnsi="Calibri" w:cs="Calibri"/>
                <w:i/>
                <w:iCs/>
                <w:sz w:val="22"/>
                <w:szCs w:val="22"/>
                <w:lang w:val="fr-FR" w:eastAsia="fr-FR"/>
              </w:rPr>
              <w:t>dont</w:t>
            </w:r>
            <w:proofErr w:type="gramEnd"/>
            <w:r w:rsidRPr="00173D3D">
              <w:rPr>
                <w:rFonts w:ascii="Calibri" w:eastAsia="Times New Roman" w:hAnsi="Calibri" w:cs="Calibri"/>
                <w:i/>
                <w:iCs/>
                <w:sz w:val="22"/>
                <w:szCs w:val="22"/>
                <w:lang w:val="fr-FR" w:eastAsia="fr-FR"/>
              </w:rPr>
              <w:t xml:space="preserve"> autres </w:t>
            </w:r>
            <w:r w:rsidR="00522067">
              <w:rPr>
                <w:rFonts w:ascii="Calibri" w:eastAsia="Times New Roman" w:hAnsi="Calibri" w:cs="Calibri"/>
                <w:i/>
                <w:iCs/>
                <w:sz w:val="22"/>
                <w:szCs w:val="22"/>
                <w:lang w:val="fr-FR" w:eastAsia="fr-FR"/>
              </w:rPr>
              <w:t>revenus</w:t>
            </w:r>
            <w:r w:rsidR="00522067" w:rsidRPr="00173D3D">
              <w:rPr>
                <w:rFonts w:ascii="Calibri" w:eastAsia="Times New Roman" w:hAnsi="Calibri" w:cs="Calibri"/>
                <w:i/>
                <w:iCs/>
                <w:sz w:val="22"/>
                <w:szCs w:val="22"/>
                <w:lang w:val="fr-FR" w:eastAsia="fr-FR"/>
              </w:rPr>
              <w:t xml:space="preserve"> </w:t>
            </w:r>
          </w:p>
        </w:tc>
        <w:tc>
          <w:tcPr>
            <w:tcW w:w="2289" w:type="dxa"/>
            <w:tcBorders>
              <w:top w:val="nil"/>
              <w:left w:val="nil"/>
              <w:bottom w:val="single" w:sz="8" w:space="0" w:color="8EAADB"/>
              <w:right w:val="single" w:sz="8" w:space="0" w:color="8EAADB"/>
            </w:tcBorders>
            <w:shd w:val="clear" w:color="auto" w:fill="auto"/>
            <w:vAlign w:val="center"/>
          </w:tcPr>
          <w:p w14:paraId="32FC21AA" w14:textId="0BF2BE81" w:rsidR="00173D3D" w:rsidRPr="007F31B6" w:rsidRDefault="00173D3D" w:rsidP="001F1E47">
            <w:pPr>
              <w:spacing w:after="0" w:line="240" w:lineRule="auto"/>
              <w:jc w:val="center"/>
              <w:rPr>
                <w:rFonts w:ascii="Calibri" w:eastAsia="Times New Roman" w:hAnsi="Calibri" w:cs="Calibri"/>
                <w:i/>
                <w:iCs/>
                <w:sz w:val="22"/>
                <w:szCs w:val="22"/>
                <w:lang w:val="fr-FR" w:eastAsia="fr-FR"/>
              </w:rPr>
            </w:pPr>
            <w:r w:rsidRPr="007F31B6">
              <w:rPr>
                <w:rFonts w:ascii="Calibri" w:eastAsia="Times New Roman" w:hAnsi="Calibri" w:cs="Calibri"/>
                <w:i/>
                <w:iCs/>
                <w:sz w:val="22"/>
                <w:szCs w:val="22"/>
                <w:lang w:val="fr-FR" w:eastAsia="fr-FR"/>
              </w:rPr>
              <w:t>1 288</w:t>
            </w:r>
          </w:p>
        </w:tc>
        <w:tc>
          <w:tcPr>
            <w:tcW w:w="2268" w:type="dxa"/>
            <w:tcBorders>
              <w:top w:val="nil"/>
              <w:left w:val="nil"/>
              <w:bottom w:val="single" w:sz="8" w:space="0" w:color="8EAADB"/>
              <w:right w:val="single" w:sz="8" w:space="0" w:color="8EAADB"/>
            </w:tcBorders>
            <w:shd w:val="clear" w:color="auto" w:fill="auto"/>
            <w:vAlign w:val="center"/>
          </w:tcPr>
          <w:p w14:paraId="0DA4565F" w14:textId="6547E75D" w:rsidR="00173D3D" w:rsidRPr="007F31B6" w:rsidRDefault="00173D3D" w:rsidP="001F1E47">
            <w:pPr>
              <w:spacing w:after="0" w:line="240" w:lineRule="auto"/>
              <w:jc w:val="center"/>
              <w:rPr>
                <w:rFonts w:ascii="Calibri" w:eastAsia="Times New Roman" w:hAnsi="Calibri" w:cs="Calibri"/>
                <w:i/>
                <w:iCs/>
                <w:sz w:val="22"/>
                <w:szCs w:val="22"/>
                <w:lang w:val="fr-FR" w:eastAsia="fr-FR"/>
              </w:rPr>
            </w:pPr>
            <w:r w:rsidRPr="007F31B6">
              <w:rPr>
                <w:rFonts w:ascii="Calibri" w:eastAsia="Times New Roman" w:hAnsi="Calibri" w:cs="Calibri"/>
                <w:i/>
                <w:iCs/>
                <w:sz w:val="22"/>
                <w:szCs w:val="22"/>
                <w:lang w:val="fr-FR" w:eastAsia="fr-FR"/>
              </w:rPr>
              <w:t>1 790</w:t>
            </w:r>
          </w:p>
        </w:tc>
      </w:tr>
      <w:tr w:rsidR="00173D3D" w:rsidRPr="001F1E47" w14:paraId="1187289D"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tcPr>
          <w:p w14:paraId="4353208D" w14:textId="7A7F6A6B" w:rsidR="00173D3D" w:rsidRPr="00173D3D" w:rsidRDefault="00173D3D" w:rsidP="001F1E47">
            <w:pPr>
              <w:spacing w:after="0" w:line="240" w:lineRule="auto"/>
              <w:jc w:val="both"/>
              <w:rPr>
                <w:rFonts w:ascii="Calibri" w:eastAsia="Times New Roman" w:hAnsi="Calibri" w:cs="Calibri"/>
                <w:i/>
                <w:iCs/>
                <w:sz w:val="22"/>
                <w:szCs w:val="22"/>
                <w:lang w:val="fr-FR" w:eastAsia="fr-FR"/>
              </w:rPr>
            </w:pPr>
            <w:proofErr w:type="gramStart"/>
            <w:r w:rsidRPr="00173D3D">
              <w:rPr>
                <w:rFonts w:ascii="Calibri" w:eastAsia="Times New Roman" w:hAnsi="Calibri" w:cs="Calibri"/>
                <w:i/>
                <w:iCs/>
                <w:sz w:val="22"/>
                <w:szCs w:val="22"/>
                <w:lang w:val="fr-FR" w:eastAsia="fr-FR"/>
              </w:rPr>
              <w:t>dont</w:t>
            </w:r>
            <w:proofErr w:type="gramEnd"/>
            <w:r w:rsidRPr="00173D3D">
              <w:rPr>
                <w:rFonts w:ascii="Calibri" w:eastAsia="Times New Roman" w:hAnsi="Calibri" w:cs="Calibri"/>
                <w:i/>
                <w:iCs/>
                <w:sz w:val="22"/>
                <w:szCs w:val="22"/>
                <w:lang w:val="fr-FR" w:eastAsia="fr-FR"/>
              </w:rPr>
              <w:t xml:space="preserve"> autres produits</w:t>
            </w:r>
          </w:p>
        </w:tc>
        <w:tc>
          <w:tcPr>
            <w:tcW w:w="2289" w:type="dxa"/>
            <w:tcBorders>
              <w:top w:val="nil"/>
              <w:left w:val="nil"/>
              <w:bottom w:val="single" w:sz="8" w:space="0" w:color="8EAADB"/>
              <w:right w:val="single" w:sz="8" w:space="0" w:color="8EAADB"/>
            </w:tcBorders>
            <w:shd w:val="clear" w:color="auto" w:fill="auto"/>
            <w:vAlign w:val="center"/>
          </w:tcPr>
          <w:p w14:paraId="6714A76D" w14:textId="2E59275E" w:rsidR="00173D3D" w:rsidRPr="007F31B6" w:rsidRDefault="00173D3D" w:rsidP="001F1E47">
            <w:pPr>
              <w:spacing w:after="0" w:line="240" w:lineRule="auto"/>
              <w:jc w:val="center"/>
              <w:rPr>
                <w:rFonts w:ascii="Calibri" w:eastAsia="Times New Roman" w:hAnsi="Calibri" w:cs="Calibri"/>
                <w:i/>
                <w:iCs/>
                <w:sz w:val="22"/>
                <w:szCs w:val="22"/>
                <w:lang w:val="fr-FR" w:eastAsia="fr-FR"/>
              </w:rPr>
            </w:pPr>
            <w:r w:rsidRPr="007F31B6">
              <w:rPr>
                <w:rFonts w:ascii="Calibri" w:eastAsia="Times New Roman" w:hAnsi="Calibri" w:cs="Calibri"/>
                <w:i/>
                <w:iCs/>
                <w:sz w:val="22"/>
                <w:szCs w:val="22"/>
                <w:lang w:val="fr-FR" w:eastAsia="fr-FR"/>
              </w:rPr>
              <w:t>667</w:t>
            </w:r>
          </w:p>
        </w:tc>
        <w:tc>
          <w:tcPr>
            <w:tcW w:w="2268" w:type="dxa"/>
            <w:tcBorders>
              <w:top w:val="nil"/>
              <w:left w:val="nil"/>
              <w:bottom w:val="single" w:sz="8" w:space="0" w:color="8EAADB"/>
              <w:right w:val="single" w:sz="8" w:space="0" w:color="8EAADB"/>
            </w:tcBorders>
            <w:shd w:val="clear" w:color="auto" w:fill="auto"/>
            <w:vAlign w:val="center"/>
          </w:tcPr>
          <w:p w14:paraId="1E67DC9D" w14:textId="53EE9BC3" w:rsidR="00173D3D" w:rsidRPr="007F31B6" w:rsidRDefault="00173D3D" w:rsidP="001F1E47">
            <w:pPr>
              <w:spacing w:after="0" w:line="240" w:lineRule="auto"/>
              <w:jc w:val="center"/>
              <w:rPr>
                <w:rFonts w:ascii="Calibri" w:eastAsia="Times New Roman" w:hAnsi="Calibri" w:cs="Calibri"/>
                <w:i/>
                <w:iCs/>
                <w:sz w:val="22"/>
                <w:szCs w:val="22"/>
                <w:lang w:val="fr-FR" w:eastAsia="fr-FR"/>
              </w:rPr>
            </w:pPr>
            <w:r w:rsidRPr="007F31B6">
              <w:rPr>
                <w:rFonts w:ascii="Calibri" w:eastAsia="Times New Roman" w:hAnsi="Calibri" w:cs="Calibri"/>
                <w:i/>
                <w:iCs/>
                <w:sz w:val="22"/>
                <w:szCs w:val="22"/>
                <w:lang w:val="fr-FR" w:eastAsia="fr-FR"/>
              </w:rPr>
              <w:t>1 097</w:t>
            </w:r>
          </w:p>
        </w:tc>
      </w:tr>
      <w:tr w:rsidR="00173D3D" w:rsidRPr="001F1E47" w14:paraId="7A6B6939"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tcPr>
          <w:p w14:paraId="0519CFA0" w14:textId="77777777" w:rsidR="00173D3D" w:rsidRPr="00173D3D" w:rsidRDefault="00173D3D" w:rsidP="001F1E47">
            <w:pPr>
              <w:spacing w:after="0" w:line="240" w:lineRule="auto"/>
              <w:jc w:val="both"/>
              <w:rPr>
                <w:rFonts w:ascii="Calibri" w:eastAsia="Times New Roman" w:hAnsi="Calibri" w:cs="Calibri"/>
                <w:b/>
                <w:bCs/>
                <w:sz w:val="22"/>
                <w:szCs w:val="22"/>
                <w:lang w:val="fr-FR" w:eastAsia="fr-FR"/>
              </w:rPr>
            </w:pPr>
          </w:p>
        </w:tc>
        <w:tc>
          <w:tcPr>
            <w:tcW w:w="2289" w:type="dxa"/>
            <w:tcBorders>
              <w:top w:val="nil"/>
              <w:left w:val="nil"/>
              <w:bottom w:val="single" w:sz="8" w:space="0" w:color="8EAADB"/>
              <w:right w:val="single" w:sz="8" w:space="0" w:color="8EAADB"/>
            </w:tcBorders>
            <w:shd w:val="clear" w:color="auto" w:fill="auto"/>
            <w:vAlign w:val="center"/>
          </w:tcPr>
          <w:p w14:paraId="4A3EE519" w14:textId="77777777" w:rsidR="00173D3D" w:rsidRPr="001F1E47" w:rsidRDefault="00173D3D" w:rsidP="001F1E47">
            <w:pPr>
              <w:spacing w:after="0" w:line="240" w:lineRule="auto"/>
              <w:jc w:val="center"/>
              <w:rPr>
                <w:rFonts w:ascii="Calibri" w:eastAsia="Times New Roman" w:hAnsi="Calibri" w:cs="Calibri"/>
                <w:b/>
                <w:bCs/>
                <w:sz w:val="22"/>
                <w:szCs w:val="22"/>
                <w:lang w:val="fr-FR" w:eastAsia="fr-FR"/>
              </w:rPr>
            </w:pPr>
          </w:p>
        </w:tc>
        <w:tc>
          <w:tcPr>
            <w:tcW w:w="2268" w:type="dxa"/>
            <w:tcBorders>
              <w:top w:val="nil"/>
              <w:left w:val="nil"/>
              <w:bottom w:val="single" w:sz="8" w:space="0" w:color="8EAADB"/>
              <w:right w:val="single" w:sz="8" w:space="0" w:color="8EAADB"/>
            </w:tcBorders>
            <w:shd w:val="clear" w:color="auto" w:fill="auto"/>
            <w:vAlign w:val="center"/>
          </w:tcPr>
          <w:p w14:paraId="69E7BDDB" w14:textId="77777777" w:rsidR="00173D3D" w:rsidRPr="001F1E47" w:rsidRDefault="00173D3D" w:rsidP="001F1E47">
            <w:pPr>
              <w:spacing w:after="0" w:line="240" w:lineRule="auto"/>
              <w:jc w:val="center"/>
              <w:rPr>
                <w:rFonts w:ascii="Calibri" w:eastAsia="Times New Roman" w:hAnsi="Calibri" w:cs="Calibri"/>
                <w:b/>
                <w:bCs/>
                <w:sz w:val="22"/>
                <w:szCs w:val="22"/>
                <w:lang w:val="fr-FR" w:eastAsia="fr-FR"/>
              </w:rPr>
            </w:pPr>
          </w:p>
        </w:tc>
      </w:tr>
      <w:tr w:rsidR="00173D3D" w:rsidRPr="001F1E47" w14:paraId="44DF19F2"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hideMark/>
          </w:tcPr>
          <w:p w14:paraId="0CB1CDD3" w14:textId="77777777" w:rsidR="00173D3D" w:rsidRPr="00173D3D" w:rsidRDefault="00173D3D" w:rsidP="00173D3D">
            <w:pPr>
              <w:spacing w:after="0" w:line="240" w:lineRule="auto"/>
              <w:jc w:val="both"/>
              <w:rPr>
                <w:rFonts w:ascii="Calibri" w:eastAsia="Times New Roman" w:hAnsi="Calibri" w:cs="Calibri"/>
                <w:b/>
                <w:bCs/>
                <w:sz w:val="22"/>
                <w:szCs w:val="22"/>
                <w:lang w:val="fr-FR" w:eastAsia="fr-FR"/>
              </w:rPr>
            </w:pPr>
            <w:r w:rsidRPr="00173D3D">
              <w:rPr>
                <w:rFonts w:ascii="Calibri" w:eastAsia="Times New Roman" w:hAnsi="Calibri" w:cs="Calibri"/>
                <w:b/>
                <w:bCs/>
                <w:sz w:val="22"/>
                <w:szCs w:val="22"/>
                <w:lang w:val="fr-FR" w:eastAsia="fr-FR"/>
              </w:rPr>
              <w:t>Charges opérationnelles courantes</w:t>
            </w:r>
          </w:p>
        </w:tc>
        <w:tc>
          <w:tcPr>
            <w:tcW w:w="2289" w:type="dxa"/>
            <w:tcBorders>
              <w:top w:val="nil"/>
              <w:left w:val="nil"/>
              <w:bottom w:val="single" w:sz="8" w:space="0" w:color="8EAADB"/>
              <w:right w:val="single" w:sz="8" w:space="0" w:color="8EAADB"/>
            </w:tcBorders>
            <w:shd w:val="clear" w:color="auto" w:fill="auto"/>
            <w:vAlign w:val="center"/>
            <w:hideMark/>
          </w:tcPr>
          <w:p w14:paraId="1C31D6AB" w14:textId="47B4E9D4" w:rsidR="00173D3D" w:rsidRPr="001F1E47" w:rsidRDefault="00173D3D" w:rsidP="00173D3D">
            <w:pPr>
              <w:spacing w:after="0" w:line="240" w:lineRule="auto"/>
              <w:jc w:val="center"/>
              <w:rPr>
                <w:rFonts w:ascii="Calibri" w:eastAsia="Times New Roman" w:hAnsi="Calibri" w:cs="Calibri"/>
                <w:b/>
                <w:bCs/>
                <w:sz w:val="22"/>
                <w:szCs w:val="22"/>
                <w:lang w:val="fr-FR" w:eastAsia="fr-FR"/>
              </w:rPr>
            </w:pPr>
            <w:r w:rsidRPr="001F1E47">
              <w:rPr>
                <w:rFonts w:ascii="Calibri" w:eastAsia="Times New Roman" w:hAnsi="Calibri" w:cs="Calibri"/>
                <w:b/>
                <w:bCs/>
                <w:sz w:val="22"/>
                <w:szCs w:val="22"/>
                <w:lang w:val="fr-FR" w:eastAsia="fr-FR"/>
              </w:rPr>
              <w:t>1</w:t>
            </w:r>
            <w:r>
              <w:rPr>
                <w:rFonts w:ascii="Calibri" w:eastAsia="Times New Roman" w:hAnsi="Calibri" w:cs="Calibri"/>
                <w:b/>
                <w:bCs/>
                <w:sz w:val="22"/>
                <w:szCs w:val="22"/>
                <w:lang w:val="fr-FR" w:eastAsia="fr-FR"/>
              </w:rPr>
              <w:t>3 067</w:t>
            </w:r>
          </w:p>
        </w:tc>
        <w:tc>
          <w:tcPr>
            <w:tcW w:w="2268" w:type="dxa"/>
            <w:tcBorders>
              <w:top w:val="nil"/>
              <w:left w:val="nil"/>
              <w:bottom w:val="single" w:sz="8" w:space="0" w:color="8EAADB"/>
              <w:right w:val="single" w:sz="8" w:space="0" w:color="8EAADB"/>
            </w:tcBorders>
            <w:shd w:val="clear" w:color="auto" w:fill="auto"/>
            <w:vAlign w:val="center"/>
            <w:hideMark/>
          </w:tcPr>
          <w:p w14:paraId="3F052EBF" w14:textId="4EB57E18" w:rsidR="00173D3D" w:rsidRPr="001F1E47" w:rsidRDefault="00173D3D" w:rsidP="00173D3D">
            <w:pPr>
              <w:spacing w:after="0" w:line="240" w:lineRule="auto"/>
              <w:jc w:val="center"/>
              <w:rPr>
                <w:rFonts w:ascii="Calibri" w:eastAsia="Times New Roman" w:hAnsi="Calibri" w:cs="Calibri"/>
                <w:b/>
                <w:bCs/>
                <w:sz w:val="22"/>
                <w:szCs w:val="22"/>
                <w:lang w:val="fr-FR" w:eastAsia="fr-FR"/>
              </w:rPr>
            </w:pPr>
            <w:r w:rsidRPr="001F1E47">
              <w:rPr>
                <w:rFonts w:ascii="Calibri" w:eastAsia="Times New Roman" w:hAnsi="Calibri" w:cs="Calibri"/>
                <w:b/>
                <w:bCs/>
                <w:sz w:val="22"/>
                <w:szCs w:val="22"/>
                <w:lang w:val="fr-FR" w:eastAsia="fr-FR"/>
              </w:rPr>
              <w:t>16 210</w:t>
            </w:r>
          </w:p>
        </w:tc>
      </w:tr>
      <w:tr w:rsidR="00173D3D" w:rsidRPr="001F1E47" w14:paraId="405B4641" w14:textId="77777777" w:rsidTr="007F31B6">
        <w:trPr>
          <w:trHeight w:val="260"/>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hideMark/>
          </w:tcPr>
          <w:p w14:paraId="3DF33A79" w14:textId="77777777" w:rsidR="00173D3D" w:rsidRPr="00173D3D" w:rsidRDefault="00173D3D" w:rsidP="00173D3D">
            <w:pPr>
              <w:spacing w:after="0" w:line="240" w:lineRule="auto"/>
              <w:rPr>
                <w:rFonts w:ascii="Calibri" w:eastAsia="Times New Roman" w:hAnsi="Calibri" w:cs="Calibri"/>
                <w:i/>
                <w:iCs/>
                <w:color w:val="000000"/>
                <w:sz w:val="22"/>
                <w:szCs w:val="22"/>
                <w:lang w:val="fr-FR" w:eastAsia="fr-FR"/>
              </w:rPr>
            </w:pPr>
            <w:proofErr w:type="gramStart"/>
            <w:r w:rsidRPr="00173D3D">
              <w:rPr>
                <w:rFonts w:ascii="Calibri" w:eastAsia="Times New Roman" w:hAnsi="Calibri" w:cs="Calibri"/>
                <w:i/>
                <w:iCs/>
                <w:sz w:val="22"/>
                <w:szCs w:val="22"/>
                <w:lang w:val="fr-FR" w:eastAsia="fr-FR"/>
              </w:rPr>
              <w:t>dont</w:t>
            </w:r>
            <w:proofErr w:type="gramEnd"/>
            <w:r w:rsidRPr="00173D3D">
              <w:rPr>
                <w:rFonts w:ascii="Calibri" w:eastAsia="Times New Roman" w:hAnsi="Calibri" w:cs="Calibri"/>
                <w:i/>
                <w:iCs/>
                <w:sz w:val="22"/>
                <w:szCs w:val="22"/>
                <w:lang w:val="fr-FR" w:eastAsia="fr-FR"/>
              </w:rPr>
              <w:t xml:space="preserve"> frais de R&amp;D</w:t>
            </w:r>
          </w:p>
        </w:tc>
        <w:tc>
          <w:tcPr>
            <w:tcW w:w="2289" w:type="dxa"/>
            <w:tcBorders>
              <w:top w:val="nil"/>
              <w:left w:val="nil"/>
              <w:bottom w:val="single" w:sz="8" w:space="0" w:color="8EAADB"/>
              <w:right w:val="single" w:sz="8" w:space="0" w:color="8EAADB"/>
            </w:tcBorders>
            <w:shd w:val="clear" w:color="000000" w:fill="D9E2F3"/>
            <w:vAlign w:val="center"/>
            <w:hideMark/>
          </w:tcPr>
          <w:p w14:paraId="3716FA77" w14:textId="14BEFCE4" w:rsidR="00173D3D" w:rsidRPr="00173D3D" w:rsidRDefault="00173D3D" w:rsidP="00173D3D">
            <w:pPr>
              <w:spacing w:after="0" w:line="240" w:lineRule="auto"/>
              <w:jc w:val="center"/>
              <w:rPr>
                <w:rFonts w:ascii="Calibri" w:eastAsia="Times New Roman" w:hAnsi="Calibri" w:cs="Calibri"/>
                <w:i/>
                <w:iCs/>
                <w:color w:val="000000"/>
                <w:lang w:val="fr-FR" w:eastAsia="fr-FR"/>
              </w:rPr>
            </w:pPr>
            <w:r w:rsidRPr="00173D3D">
              <w:rPr>
                <w:rFonts w:ascii="Calibri" w:eastAsia="Times New Roman" w:hAnsi="Calibri" w:cs="Calibri"/>
                <w:i/>
                <w:iCs/>
                <w:color w:val="000000"/>
                <w:lang w:val="fr-FR" w:eastAsia="fr-FR"/>
              </w:rPr>
              <w:t>7 077</w:t>
            </w:r>
          </w:p>
        </w:tc>
        <w:tc>
          <w:tcPr>
            <w:tcW w:w="2268" w:type="dxa"/>
            <w:tcBorders>
              <w:top w:val="nil"/>
              <w:left w:val="nil"/>
              <w:bottom w:val="single" w:sz="8" w:space="0" w:color="8EAADB"/>
              <w:right w:val="single" w:sz="8" w:space="0" w:color="8EAADB"/>
            </w:tcBorders>
            <w:shd w:val="clear" w:color="000000" w:fill="D9E2F3"/>
            <w:vAlign w:val="center"/>
            <w:hideMark/>
          </w:tcPr>
          <w:p w14:paraId="07937E27" w14:textId="2D261C47" w:rsidR="00173D3D" w:rsidRPr="00173D3D" w:rsidRDefault="00173D3D" w:rsidP="00173D3D">
            <w:pPr>
              <w:spacing w:after="0" w:line="240" w:lineRule="auto"/>
              <w:jc w:val="center"/>
              <w:rPr>
                <w:rFonts w:ascii="Calibri" w:eastAsia="Times New Roman" w:hAnsi="Calibri" w:cs="Calibri"/>
                <w:i/>
                <w:iCs/>
                <w:color w:val="000000"/>
                <w:lang w:val="fr-FR" w:eastAsia="fr-FR"/>
              </w:rPr>
            </w:pPr>
            <w:r w:rsidRPr="00173D3D">
              <w:rPr>
                <w:rFonts w:ascii="Calibri" w:eastAsia="Times New Roman" w:hAnsi="Calibri" w:cs="Calibri"/>
                <w:i/>
                <w:iCs/>
                <w:lang w:val="fr-FR" w:eastAsia="fr-FR"/>
              </w:rPr>
              <w:t>8 964</w:t>
            </w:r>
          </w:p>
        </w:tc>
      </w:tr>
      <w:tr w:rsidR="00173D3D" w:rsidRPr="001F1E47" w14:paraId="785B7950" w14:textId="77777777" w:rsidTr="007F31B6">
        <w:trPr>
          <w:trHeight w:val="260"/>
          <w:jc w:val="center"/>
        </w:trPr>
        <w:tc>
          <w:tcPr>
            <w:tcW w:w="5072" w:type="dxa"/>
            <w:tcBorders>
              <w:top w:val="nil"/>
              <w:left w:val="single" w:sz="8" w:space="0" w:color="8EAADB"/>
              <w:bottom w:val="single" w:sz="8" w:space="0" w:color="8EAADB"/>
              <w:right w:val="single" w:sz="8" w:space="0" w:color="8EAADB"/>
            </w:tcBorders>
            <w:shd w:val="clear" w:color="auto" w:fill="auto"/>
            <w:vAlign w:val="center"/>
            <w:hideMark/>
          </w:tcPr>
          <w:p w14:paraId="08A30C46" w14:textId="77777777" w:rsidR="00173D3D" w:rsidRPr="00173D3D" w:rsidRDefault="00173D3D" w:rsidP="00173D3D">
            <w:pPr>
              <w:spacing w:after="0" w:line="240" w:lineRule="auto"/>
              <w:rPr>
                <w:rFonts w:ascii="Calibri" w:eastAsia="Times New Roman" w:hAnsi="Calibri" w:cs="Calibri"/>
                <w:i/>
                <w:iCs/>
                <w:sz w:val="22"/>
                <w:szCs w:val="22"/>
                <w:lang w:val="fr-FR" w:eastAsia="fr-FR"/>
              </w:rPr>
            </w:pPr>
            <w:proofErr w:type="gramStart"/>
            <w:r w:rsidRPr="00173D3D">
              <w:rPr>
                <w:rFonts w:ascii="Calibri" w:eastAsia="Times New Roman" w:hAnsi="Calibri" w:cs="Calibri"/>
                <w:i/>
                <w:iCs/>
                <w:sz w:val="22"/>
                <w:szCs w:val="22"/>
                <w:lang w:val="fr-FR" w:eastAsia="fr-FR"/>
              </w:rPr>
              <w:t>dont</w:t>
            </w:r>
            <w:proofErr w:type="gramEnd"/>
            <w:r w:rsidRPr="00173D3D">
              <w:rPr>
                <w:rFonts w:ascii="Calibri" w:eastAsia="Times New Roman" w:hAnsi="Calibri" w:cs="Calibri"/>
                <w:i/>
                <w:iCs/>
                <w:sz w:val="22"/>
                <w:szCs w:val="22"/>
                <w:lang w:val="fr-FR" w:eastAsia="fr-FR"/>
              </w:rPr>
              <w:t xml:space="preserve"> frais marketing et commerciaux</w:t>
            </w:r>
          </w:p>
        </w:tc>
        <w:tc>
          <w:tcPr>
            <w:tcW w:w="2289" w:type="dxa"/>
            <w:tcBorders>
              <w:top w:val="nil"/>
              <w:left w:val="nil"/>
              <w:bottom w:val="single" w:sz="8" w:space="0" w:color="8EAADB"/>
              <w:right w:val="single" w:sz="8" w:space="0" w:color="8EAADB"/>
            </w:tcBorders>
            <w:shd w:val="clear" w:color="auto" w:fill="auto"/>
            <w:vAlign w:val="center"/>
            <w:hideMark/>
          </w:tcPr>
          <w:p w14:paraId="721A990B" w14:textId="14DAB5FC" w:rsidR="00173D3D" w:rsidRPr="00173D3D" w:rsidRDefault="00173D3D" w:rsidP="00173D3D">
            <w:pPr>
              <w:spacing w:after="0" w:line="240" w:lineRule="auto"/>
              <w:jc w:val="center"/>
              <w:rPr>
                <w:rFonts w:ascii="Calibri" w:eastAsia="Times New Roman" w:hAnsi="Calibri" w:cs="Calibri"/>
                <w:i/>
                <w:iCs/>
                <w:lang w:val="fr-FR" w:eastAsia="fr-FR"/>
              </w:rPr>
            </w:pPr>
            <w:r w:rsidRPr="00173D3D">
              <w:rPr>
                <w:rFonts w:ascii="Calibri" w:eastAsia="Times New Roman" w:hAnsi="Calibri" w:cs="Calibri"/>
                <w:i/>
                <w:iCs/>
                <w:lang w:val="fr-FR" w:eastAsia="fr-FR"/>
              </w:rPr>
              <w:t>1 066</w:t>
            </w:r>
          </w:p>
        </w:tc>
        <w:tc>
          <w:tcPr>
            <w:tcW w:w="2268" w:type="dxa"/>
            <w:tcBorders>
              <w:top w:val="nil"/>
              <w:left w:val="nil"/>
              <w:bottom w:val="single" w:sz="8" w:space="0" w:color="8EAADB"/>
              <w:right w:val="single" w:sz="8" w:space="0" w:color="8EAADB"/>
            </w:tcBorders>
            <w:shd w:val="clear" w:color="auto" w:fill="auto"/>
            <w:vAlign w:val="center"/>
            <w:hideMark/>
          </w:tcPr>
          <w:p w14:paraId="016E1D02" w14:textId="67FEC717" w:rsidR="00173D3D" w:rsidRPr="00173D3D" w:rsidRDefault="00173D3D" w:rsidP="00173D3D">
            <w:pPr>
              <w:spacing w:after="0" w:line="240" w:lineRule="auto"/>
              <w:jc w:val="center"/>
              <w:rPr>
                <w:rFonts w:ascii="Calibri" w:eastAsia="Times New Roman" w:hAnsi="Calibri" w:cs="Calibri"/>
                <w:i/>
                <w:iCs/>
                <w:lang w:val="fr-FR" w:eastAsia="fr-FR"/>
              </w:rPr>
            </w:pPr>
            <w:r w:rsidRPr="00173D3D">
              <w:rPr>
                <w:rFonts w:ascii="Calibri" w:eastAsia="Times New Roman" w:hAnsi="Calibri" w:cs="Calibri"/>
                <w:i/>
                <w:iCs/>
                <w:lang w:val="fr-FR" w:eastAsia="fr-FR"/>
              </w:rPr>
              <w:t>1 569</w:t>
            </w:r>
          </w:p>
        </w:tc>
      </w:tr>
      <w:tr w:rsidR="00173D3D" w:rsidRPr="001F1E47" w14:paraId="30EC973D" w14:textId="77777777" w:rsidTr="007F31B6">
        <w:trPr>
          <w:trHeight w:val="260"/>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hideMark/>
          </w:tcPr>
          <w:p w14:paraId="6849FCFB" w14:textId="77777777" w:rsidR="00173D3D" w:rsidRPr="00173D3D" w:rsidRDefault="00173D3D" w:rsidP="00173D3D">
            <w:pPr>
              <w:spacing w:after="0" w:line="240" w:lineRule="auto"/>
              <w:rPr>
                <w:rFonts w:ascii="Calibri" w:eastAsia="Times New Roman" w:hAnsi="Calibri" w:cs="Calibri"/>
                <w:i/>
                <w:iCs/>
                <w:color w:val="000000"/>
                <w:sz w:val="22"/>
                <w:szCs w:val="22"/>
                <w:lang w:val="fr-FR" w:eastAsia="fr-FR"/>
              </w:rPr>
            </w:pPr>
            <w:proofErr w:type="gramStart"/>
            <w:r w:rsidRPr="00173D3D">
              <w:rPr>
                <w:rFonts w:ascii="Calibri" w:eastAsia="Times New Roman" w:hAnsi="Calibri" w:cs="Calibri"/>
                <w:i/>
                <w:iCs/>
                <w:sz w:val="22"/>
                <w:szCs w:val="22"/>
                <w:lang w:val="fr-FR" w:eastAsia="fr-FR"/>
              </w:rPr>
              <w:t>dont</w:t>
            </w:r>
            <w:proofErr w:type="gramEnd"/>
            <w:r w:rsidRPr="00173D3D">
              <w:rPr>
                <w:rFonts w:ascii="Calibri" w:eastAsia="Times New Roman" w:hAnsi="Calibri" w:cs="Calibri"/>
                <w:i/>
                <w:iCs/>
                <w:sz w:val="22"/>
                <w:szCs w:val="22"/>
                <w:lang w:val="fr-FR" w:eastAsia="fr-FR"/>
              </w:rPr>
              <w:t xml:space="preserve"> frais de structure et généraux</w:t>
            </w:r>
          </w:p>
        </w:tc>
        <w:tc>
          <w:tcPr>
            <w:tcW w:w="2289" w:type="dxa"/>
            <w:tcBorders>
              <w:top w:val="nil"/>
              <w:left w:val="nil"/>
              <w:bottom w:val="single" w:sz="8" w:space="0" w:color="8EAADB"/>
              <w:right w:val="single" w:sz="8" w:space="0" w:color="8EAADB"/>
            </w:tcBorders>
            <w:shd w:val="clear" w:color="000000" w:fill="D9E2F3"/>
            <w:vAlign w:val="center"/>
            <w:hideMark/>
          </w:tcPr>
          <w:p w14:paraId="797B056B" w14:textId="6E04856D" w:rsidR="00173D3D" w:rsidRPr="00173D3D" w:rsidRDefault="00173D3D" w:rsidP="00173D3D">
            <w:pPr>
              <w:spacing w:after="0" w:line="240" w:lineRule="auto"/>
              <w:jc w:val="center"/>
              <w:rPr>
                <w:rFonts w:ascii="Calibri" w:eastAsia="Times New Roman" w:hAnsi="Calibri" w:cs="Calibri"/>
                <w:i/>
                <w:iCs/>
                <w:color w:val="000000"/>
                <w:lang w:val="fr-FR" w:eastAsia="fr-FR"/>
              </w:rPr>
            </w:pPr>
            <w:r w:rsidRPr="00173D3D">
              <w:rPr>
                <w:rFonts w:ascii="Calibri" w:eastAsia="Times New Roman" w:hAnsi="Calibri" w:cs="Calibri"/>
                <w:i/>
                <w:iCs/>
                <w:color w:val="000000"/>
                <w:lang w:val="fr-FR" w:eastAsia="fr-FR"/>
              </w:rPr>
              <w:t>3 807</w:t>
            </w:r>
          </w:p>
        </w:tc>
        <w:tc>
          <w:tcPr>
            <w:tcW w:w="2268" w:type="dxa"/>
            <w:tcBorders>
              <w:top w:val="nil"/>
              <w:left w:val="nil"/>
              <w:bottom w:val="single" w:sz="8" w:space="0" w:color="8EAADB"/>
              <w:right w:val="single" w:sz="8" w:space="0" w:color="8EAADB"/>
            </w:tcBorders>
            <w:shd w:val="clear" w:color="000000" w:fill="D9E2F3"/>
            <w:vAlign w:val="center"/>
            <w:hideMark/>
          </w:tcPr>
          <w:p w14:paraId="7F8BCAB6" w14:textId="19A0ECC3" w:rsidR="00173D3D" w:rsidRPr="00173D3D" w:rsidRDefault="00173D3D" w:rsidP="00173D3D">
            <w:pPr>
              <w:spacing w:after="0" w:line="240" w:lineRule="auto"/>
              <w:jc w:val="center"/>
              <w:rPr>
                <w:rFonts w:ascii="Calibri" w:eastAsia="Times New Roman" w:hAnsi="Calibri" w:cs="Calibri"/>
                <w:i/>
                <w:iCs/>
                <w:color w:val="000000"/>
                <w:lang w:val="fr-FR" w:eastAsia="fr-FR"/>
              </w:rPr>
            </w:pPr>
            <w:r w:rsidRPr="00173D3D">
              <w:rPr>
                <w:rFonts w:ascii="Calibri" w:eastAsia="Times New Roman" w:hAnsi="Calibri" w:cs="Calibri"/>
                <w:i/>
                <w:iCs/>
                <w:lang w:val="fr-FR" w:eastAsia="fr-FR"/>
              </w:rPr>
              <w:t>4 703</w:t>
            </w:r>
          </w:p>
        </w:tc>
      </w:tr>
      <w:tr w:rsidR="001F1E47" w:rsidRPr="001F1E47" w14:paraId="4894F788"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hideMark/>
          </w:tcPr>
          <w:p w14:paraId="7F72C105" w14:textId="77777777" w:rsidR="001F1E47" w:rsidRPr="00173D3D" w:rsidRDefault="001F1E47" w:rsidP="001F1E47">
            <w:pPr>
              <w:spacing w:after="0" w:line="240" w:lineRule="auto"/>
              <w:jc w:val="both"/>
              <w:rPr>
                <w:rFonts w:ascii="Calibri" w:eastAsia="Times New Roman" w:hAnsi="Calibri" w:cs="Calibri"/>
                <w:b/>
                <w:bCs/>
                <w:sz w:val="22"/>
                <w:szCs w:val="22"/>
                <w:lang w:val="fr-FR" w:eastAsia="fr-FR"/>
              </w:rPr>
            </w:pPr>
            <w:r w:rsidRPr="00173D3D">
              <w:rPr>
                <w:rFonts w:ascii="Calibri" w:eastAsia="Times New Roman" w:hAnsi="Calibri" w:cs="Calibri"/>
                <w:b/>
                <w:bCs/>
                <w:sz w:val="22"/>
                <w:szCs w:val="22"/>
                <w:lang w:val="fr-FR" w:eastAsia="fr-FR"/>
              </w:rPr>
              <w:t> </w:t>
            </w:r>
          </w:p>
        </w:tc>
        <w:tc>
          <w:tcPr>
            <w:tcW w:w="2289" w:type="dxa"/>
            <w:tcBorders>
              <w:top w:val="nil"/>
              <w:left w:val="nil"/>
              <w:bottom w:val="single" w:sz="8" w:space="0" w:color="8EAADB"/>
              <w:right w:val="single" w:sz="8" w:space="0" w:color="8EAADB"/>
            </w:tcBorders>
            <w:shd w:val="clear" w:color="auto" w:fill="auto"/>
            <w:vAlign w:val="center"/>
            <w:hideMark/>
          </w:tcPr>
          <w:p w14:paraId="7063D00E" w14:textId="77777777" w:rsidR="001F1E47" w:rsidRPr="001F1E47" w:rsidRDefault="001F1E47" w:rsidP="001F1E47">
            <w:pPr>
              <w:spacing w:after="0" w:line="240" w:lineRule="auto"/>
              <w:jc w:val="center"/>
              <w:rPr>
                <w:rFonts w:ascii="Calibri" w:eastAsia="Times New Roman" w:hAnsi="Calibri" w:cs="Calibri"/>
                <w:b/>
                <w:bCs/>
                <w:sz w:val="22"/>
                <w:szCs w:val="22"/>
                <w:lang w:val="fr-FR" w:eastAsia="fr-FR"/>
              </w:rPr>
            </w:pPr>
            <w:r w:rsidRPr="001F1E47">
              <w:rPr>
                <w:rFonts w:ascii="Calibri" w:eastAsia="Times New Roman" w:hAnsi="Calibri" w:cs="Calibri"/>
                <w:b/>
                <w:bCs/>
                <w:sz w:val="22"/>
                <w:szCs w:val="22"/>
                <w:lang w:val="fr-FR" w:eastAsia="fr-FR"/>
              </w:rPr>
              <w:t> </w:t>
            </w:r>
          </w:p>
        </w:tc>
        <w:tc>
          <w:tcPr>
            <w:tcW w:w="2268" w:type="dxa"/>
            <w:tcBorders>
              <w:top w:val="nil"/>
              <w:left w:val="nil"/>
              <w:bottom w:val="single" w:sz="8" w:space="0" w:color="8EAADB"/>
              <w:right w:val="single" w:sz="8" w:space="0" w:color="8EAADB"/>
            </w:tcBorders>
            <w:shd w:val="clear" w:color="auto" w:fill="auto"/>
            <w:vAlign w:val="center"/>
            <w:hideMark/>
          </w:tcPr>
          <w:p w14:paraId="40319103" w14:textId="77777777" w:rsidR="001F1E47" w:rsidRPr="001F1E47" w:rsidRDefault="001F1E47" w:rsidP="001F1E47">
            <w:pPr>
              <w:spacing w:after="0" w:line="240" w:lineRule="auto"/>
              <w:jc w:val="center"/>
              <w:rPr>
                <w:rFonts w:ascii="Calibri" w:eastAsia="Times New Roman" w:hAnsi="Calibri" w:cs="Calibri"/>
                <w:b/>
                <w:bCs/>
                <w:sz w:val="22"/>
                <w:szCs w:val="22"/>
                <w:lang w:val="fr-FR" w:eastAsia="fr-FR"/>
              </w:rPr>
            </w:pPr>
            <w:r w:rsidRPr="001F1E47">
              <w:rPr>
                <w:rFonts w:ascii="Calibri" w:eastAsia="Times New Roman" w:hAnsi="Calibri" w:cs="Calibri"/>
                <w:b/>
                <w:bCs/>
                <w:sz w:val="22"/>
                <w:szCs w:val="22"/>
                <w:lang w:val="fr-FR" w:eastAsia="fr-FR"/>
              </w:rPr>
              <w:t> </w:t>
            </w:r>
          </w:p>
        </w:tc>
      </w:tr>
      <w:tr w:rsidR="001F1E47" w:rsidRPr="001F1E47" w14:paraId="03283033"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hideMark/>
          </w:tcPr>
          <w:p w14:paraId="15E8F546" w14:textId="77777777" w:rsidR="001F1E47" w:rsidRPr="00173D3D" w:rsidRDefault="001F1E47" w:rsidP="001F1E47">
            <w:pPr>
              <w:spacing w:after="0" w:line="240" w:lineRule="auto"/>
              <w:jc w:val="both"/>
              <w:rPr>
                <w:rFonts w:ascii="Calibri" w:eastAsia="Times New Roman" w:hAnsi="Calibri" w:cs="Calibri"/>
                <w:b/>
                <w:bCs/>
                <w:color w:val="000000"/>
                <w:sz w:val="22"/>
                <w:szCs w:val="22"/>
                <w:lang w:val="fr-FR" w:eastAsia="fr-FR"/>
              </w:rPr>
            </w:pPr>
            <w:r w:rsidRPr="00173D3D">
              <w:rPr>
                <w:rFonts w:ascii="Calibri" w:eastAsia="Times New Roman" w:hAnsi="Calibri" w:cs="Calibri"/>
                <w:b/>
                <w:bCs/>
                <w:sz w:val="22"/>
                <w:szCs w:val="22"/>
                <w:lang w:val="fr-FR" w:eastAsia="fr-FR"/>
              </w:rPr>
              <w:t>Résultat opérationnel</w:t>
            </w:r>
          </w:p>
        </w:tc>
        <w:tc>
          <w:tcPr>
            <w:tcW w:w="2289" w:type="dxa"/>
            <w:tcBorders>
              <w:top w:val="nil"/>
              <w:left w:val="nil"/>
              <w:bottom w:val="single" w:sz="8" w:space="0" w:color="8EAADB"/>
              <w:right w:val="single" w:sz="8" w:space="0" w:color="8EAADB"/>
            </w:tcBorders>
            <w:shd w:val="clear" w:color="000000" w:fill="D9E2F3"/>
            <w:vAlign w:val="center"/>
            <w:hideMark/>
          </w:tcPr>
          <w:p w14:paraId="2516423E" w14:textId="766B01A9" w:rsidR="001F1E47" w:rsidRPr="001F1E47" w:rsidRDefault="001F1E47" w:rsidP="00173D3D">
            <w:pPr>
              <w:spacing w:after="0" w:line="240" w:lineRule="auto"/>
              <w:jc w:val="center"/>
              <w:rPr>
                <w:rFonts w:ascii="Calibri" w:eastAsia="Times New Roman" w:hAnsi="Calibri" w:cs="Calibri"/>
                <w:b/>
                <w:bCs/>
                <w:color w:val="000000"/>
                <w:sz w:val="22"/>
                <w:szCs w:val="22"/>
                <w:lang w:val="fr-FR" w:eastAsia="fr-FR"/>
              </w:rPr>
            </w:pPr>
            <w:r w:rsidRPr="001F1E47">
              <w:rPr>
                <w:rFonts w:ascii="Calibri" w:eastAsia="Times New Roman" w:hAnsi="Calibri" w:cs="Calibri"/>
                <w:b/>
                <w:bCs/>
                <w:sz w:val="22"/>
                <w:szCs w:val="22"/>
                <w:lang w:val="fr-FR" w:eastAsia="fr-FR"/>
              </w:rPr>
              <w:t>-1</w:t>
            </w:r>
            <w:r w:rsidR="00173D3D">
              <w:rPr>
                <w:rFonts w:ascii="Calibri" w:eastAsia="Times New Roman" w:hAnsi="Calibri" w:cs="Calibri"/>
                <w:b/>
                <w:bCs/>
                <w:sz w:val="22"/>
                <w:szCs w:val="22"/>
                <w:lang w:val="fr-FR" w:eastAsia="fr-FR"/>
              </w:rPr>
              <w:t>0 059</w:t>
            </w:r>
          </w:p>
        </w:tc>
        <w:tc>
          <w:tcPr>
            <w:tcW w:w="2268" w:type="dxa"/>
            <w:tcBorders>
              <w:top w:val="nil"/>
              <w:left w:val="nil"/>
              <w:bottom w:val="single" w:sz="8" w:space="0" w:color="8EAADB"/>
              <w:right w:val="single" w:sz="8" w:space="0" w:color="8EAADB"/>
            </w:tcBorders>
            <w:shd w:val="clear" w:color="000000" w:fill="D9E2F3"/>
            <w:vAlign w:val="center"/>
            <w:hideMark/>
          </w:tcPr>
          <w:p w14:paraId="61F806C2" w14:textId="5DCD5DC8" w:rsidR="001F1E47" w:rsidRPr="001F1E47" w:rsidRDefault="00173D3D" w:rsidP="00173D3D">
            <w:pPr>
              <w:spacing w:after="0" w:line="240" w:lineRule="auto"/>
              <w:jc w:val="center"/>
              <w:rPr>
                <w:rFonts w:ascii="Calibri" w:eastAsia="Times New Roman" w:hAnsi="Calibri" w:cs="Calibri"/>
                <w:b/>
                <w:bCs/>
                <w:color w:val="000000"/>
                <w:sz w:val="22"/>
                <w:szCs w:val="22"/>
                <w:lang w:val="fr-FR" w:eastAsia="fr-FR"/>
              </w:rPr>
            </w:pPr>
            <w:r w:rsidRPr="001F1E47">
              <w:rPr>
                <w:rFonts w:ascii="Calibri" w:eastAsia="Times New Roman" w:hAnsi="Calibri" w:cs="Calibri"/>
                <w:b/>
                <w:bCs/>
                <w:sz w:val="22"/>
                <w:szCs w:val="22"/>
                <w:lang w:val="fr-FR" w:eastAsia="fr-FR"/>
              </w:rPr>
              <w:t>-12 444</w:t>
            </w:r>
          </w:p>
        </w:tc>
      </w:tr>
      <w:tr w:rsidR="00173D3D" w:rsidRPr="001F1E47" w14:paraId="743081F1"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hideMark/>
          </w:tcPr>
          <w:p w14:paraId="37CDC156" w14:textId="022B99BF" w:rsidR="00173D3D" w:rsidRPr="00173D3D" w:rsidRDefault="00173D3D" w:rsidP="00173D3D">
            <w:pPr>
              <w:spacing w:after="0" w:line="240" w:lineRule="auto"/>
              <w:jc w:val="both"/>
              <w:rPr>
                <w:rFonts w:ascii="Calibri" w:eastAsia="Times New Roman" w:hAnsi="Calibri" w:cs="Calibri"/>
                <w:b/>
                <w:bCs/>
                <w:sz w:val="22"/>
                <w:szCs w:val="22"/>
                <w:lang w:val="fr-FR" w:eastAsia="fr-FR"/>
              </w:rPr>
            </w:pPr>
          </w:p>
        </w:tc>
        <w:tc>
          <w:tcPr>
            <w:tcW w:w="2289" w:type="dxa"/>
            <w:tcBorders>
              <w:top w:val="nil"/>
              <w:left w:val="nil"/>
              <w:bottom w:val="single" w:sz="8" w:space="0" w:color="8EAADB"/>
              <w:right w:val="single" w:sz="8" w:space="0" w:color="8EAADB"/>
            </w:tcBorders>
            <w:shd w:val="clear" w:color="auto" w:fill="auto"/>
            <w:vAlign w:val="center"/>
            <w:hideMark/>
          </w:tcPr>
          <w:p w14:paraId="6B7ECB8C" w14:textId="2C697B0F" w:rsidR="00173D3D" w:rsidRPr="001F1E47" w:rsidRDefault="00173D3D" w:rsidP="00173D3D">
            <w:pPr>
              <w:spacing w:after="0" w:line="240" w:lineRule="auto"/>
              <w:jc w:val="center"/>
              <w:rPr>
                <w:rFonts w:ascii="Calibri" w:eastAsia="Times New Roman" w:hAnsi="Calibri" w:cs="Calibri"/>
                <w:b/>
                <w:bCs/>
                <w:sz w:val="22"/>
                <w:szCs w:val="22"/>
                <w:lang w:val="fr-FR" w:eastAsia="fr-FR"/>
              </w:rPr>
            </w:pPr>
          </w:p>
        </w:tc>
        <w:tc>
          <w:tcPr>
            <w:tcW w:w="2268" w:type="dxa"/>
            <w:tcBorders>
              <w:top w:val="nil"/>
              <w:left w:val="nil"/>
              <w:bottom w:val="single" w:sz="8" w:space="0" w:color="8EAADB"/>
              <w:right w:val="single" w:sz="8" w:space="0" w:color="8EAADB"/>
            </w:tcBorders>
            <w:shd w:val="clear" w:color="auto" w:fill="auto"/>
            <w:vAlign w:val="center"/>
            <w:hideMark/>
          </w:tcPr>
          <w:p w14:paraId="7A539964" w14:textId="10FB2079" w:rsidR="00173D3D" w:rsidRPr="001F1E47" w:rsidRDefault="00173D3D" w:rsidP="00173D3D">
            <w:pPr>
              <w:spacing w:after="0" w:line="240" w:lineRule="auto"/>
              <w:jc w:val="center"/>
              <w:rPr>
                <w:rFonts w:ascii="Calibri" w:eastAsia="Times New Roman" w:hAnsi="Calibri" w:cs="Calibri"/>
                <w:b/>
                <w:bCs/>
                <w:sz w:val="22"/>
                <w:szCs w:val="22"/>
                <w:lang w:val="fr-FR" w:eastAsia="fr-FR"/>
              </w:rPr>
            </w:pPr>
          </w:p>
        </w:tc>
      </w:tr>
      <w:tr w:rsidR="00173D3D" w:rsidRPr="001F1E47" w14:paraId="4A6C9412" w14:textId="77777777" w:rsidTr="007F31B6">
        <w:trPr>
          <w:trHeight w:val="260"/>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hideMark/>
          </w:tcPr>
          <w:p w14:paraId="03F5FB0F" w14:textId="6B64B185" w:rsidR="00173D3D" w:rsidRPr="00173D3D" w:rsidRDefault="00173D3D" w:rsidP="00173D3D">
            <w:pPr>
              <w:spacing w:after="0" w:line="240" w:lineRule="auto"/>
              <w:jc w:val="both"/>
              <w:rPr>
                <w:rFonts w:ascii="Calibri" w:eastAsia="Times New Roman" w:hAnsi="Calibri" w:cs="Calibri"/>
                <w:b/>
                <w:bCs/>
                <w:color w:val="000000"/>
                <w:sz w:val="22"/>
                <w:szCs w:val="22"/>
                <w:lang w:val="fr-FR" w:eastAsia="fr-FR"/>
              </w:rPr>
            </w:pPr>
            <w:r w:rsidRPr="00173D3D">
              <w:rPr>
                <w:rFonts w:ascii="Calibri" w:eastAsia="Times New Roman" w:hAnsi="Calibri" w:cs="Calibri"/>
                <w:b/>
                <w:bCs/>
                <w:sz w:val="22"/>
                <w:szCs w:val="22"/>
                <w:lang w:val="fr-FR" w:eastAsia="fr-FR"/>
              </w:rPr>
              <w:t>Résultat financier</w:t>
            </w:r>
          </w:p>
        </w:tc>
        <w:tc>
          <w:tcPr>
            <w:tcW w:w="2289" w:type="dxa"/>
            <w:tcBorders>
              <w:top w:val="nil"/>
              <w:left w:val="nil"/>
              <w:bottom w:val="single" w:sz="8" w:space="0" w:color="8EAADB"/>
              <w:right w:val="single" w:sz="8" w:space="0" w:color="8EAADB"/>
            </w:tcBorders>
            <w:shd w:val="clear" w:color="000000" w:fill="D9E2F3"/>
            <w:vAlign w:val="center"/>
            <w:hideMark/>
          </w:tcPr>
          <w:p w14:paraId="0EAD0F59" w14:textId="7AFE659C" w:rsidR="00173D3D" w:rsidRPr="00173D3D" w:rsidRDefault="00173D3D" w:rsidP="00173D3D">
            <w:pPr>
              <w:spacing w:after="0" w:line="240" w:lineRule="auto"/>
              <w:jc w:val="center"/>
              <w:rPr>
                <w:rFonts w:ascii="Calibri" w:eastAsia="Times New Roman" w:hAnsi="Calibri" w:cs="Calibri"/>
                <w:b/>
                <w:bCs/>
                <w:color w:val="000000"/>
                <w:lang w:val="fr-FR" w:eastAsia="fr-FR"/>
              </w:rPr>
            </w:pPr>
            <w:r w:rsidRPr="001F1E47">
              <w:rPr>
                <w:rFonts w:ascii="Calibri" w:eastAsia="Times New Roman" w:hAnsi="Calibri" w:cs="Calibri"/>
                <w:b/>
                <w:bCs/>
                <w:sz w:val="22"/>
                <w:szCs w:val="22"/>
                <w:lang w:val="fr-FR" w:eastAsia="fr-FR"/>
              </w:rPr>
              <w:t>-1</w:t>
            </w:r>
            <w:r>
              <w:rPr>
                <w:rFonts w:ascii="Calibri" w:eastAsia="Times New Roman" w:hAnsi="Calibri" w:cs="Calibri"/>
                <w:b/>
                <w:bCs/>
                <w:sz w:val="22"/>
                <w:szCs w:val="22"/>
                <w:lang w:val="fr-FR" w:eastAsia="fr-FR"/>
              </w:rPr>
              <w:t xml:space="preserve"> 37</w:t>
            </w:r>
            <w:r w:rsidR="00A322EC">
              <w:rPr>
                <w:rFonts w:ascii="Calibri" w:eastAsia="Times New Roman" w:hAnsi="Calibri" w:cs="Calibri"/>
                <w:b/>
                <w:bCs/>
                <w:sz w:val="22"/>
                <w:szCs w:val="22"/>
                <w:lang w:val="fr-FR" w:eastAsia="fr-FR"/>
              </w:rPr>
              <w:t>4</w:t>
            </w:r>
          </w:p>
        </w:tc>
        <w:tc>
          <w:tcPr>
            <w:tcW w:w="2268" w:type="dxa"/>
            <w:tcBorders>
              <w:top w:val="nil"/>
              <w:left w:val="nil"/>
              <w:bottom w:val="single" w:sz="8" w:space="0" w:color="8EAADB"/>
              <w:right w:val="single" w:sz="8" w:space="0" w:color="8EAADB"/>
            </w:tcBorders>
            <w:shd w:val="clear" w:color="000000" w:fill="D9E2F3"/>
            <w:vAlign w:val="center"/>
            <w:hideMark/>
          </w:tcPr>
          <w:p w14:paraId="203272D8" w14:textId="153BB994" w:rsidR="00173D3D" w:rsidRPr="00173D3D" w:rsidRDefault="00A322EC" w:rsidP="00173D3D">
            <w:pPr>
              <w:spacing w:after="0" w:line="240" w:lineRule="auto"/>
              <w:jc w:val="center"/>
              <w:rPr>
                <w:rFonts w:ascii="Calibri" w:eastAsia="Times New Roman" w:hAnsi="Calibri" w:cs="Calibri"/>
                <w:b/>
                <w:bCs/>
                <w:color w:val="000000"/>
                <w:lang w:val="fr-FR" w:eastAsia="fr-FR"/>
              </w:rPr>
            </w:pPr>
            <w:r>
              <w:rPr>
                <w:rFonts w:ascii="Calibri" w:eastAsia="Times New Roman" w:hAnsi="Calibri" w:cs="Calibri"/>
                <w:b/>
                <w:bCs/>
                <w:color w:val="000000"/>
                <w:lang w:val="fr-FR" w:eastAsia="fr-FR"/>
              </w:rPr>
              <w:t>5</w:t>
            </w:r>
          </w:p>
        </w:tc>
      </w:tr>
      <w:tr w:rsidR="00173D3D" w:rsidRPr="001F1E47" w14:paraId="0652C217"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auto" w:fill="auto"/>
            <w:vAlign w:val="center"/>
            <w:hideMark/>
          </w:tcPr>
          <w:p w14:paraId="42795AF1" w14:textId="6E755B56" w:rsidR="00173D3D" w:rsidRPr="00173D3D" w:rsidRDefault="00173D3D" w:rsidP="00173D3D">
            <w:pPr>
              <w:spacing w:after="0" w:line="240" w:lineRule="auto"/>
              <w:jc w:val="both"/>
              <w:rPr>
                <w:rFonts w:ascii="Calibri" w:eastAsia="Times New Roman" w:hAnsi="Calibri" w:cs="Calibri"/>
                <w:i/>
                <w:iCs/>
                <w:sz w:val="22"/>
                <w:szCs w:val="22"/>
                <w:lang w:val="fr-FR" w:eastAsia="fr-FR"/>
              </w:rPr>
            </w:pPr>
            <w:proofErr w:type="gramStart"/>
            <w:r w:rsidRPr="00173D3D">
              <w:rPr>
                <w:rFonts w:ascii="Calibri" w:eastAsia="Times New Roman" w:hAnsi="Calibri" w:cs="Calibri"/>
                <w:i/>
                <w:iCs/>
                <w:sz w:val="22"/>
                <w:szCs w:val="22"/>
                <w:lang w:val="fr-FR" w:eastAsia="fr-FR"/>
              </w:rPr>
              <w:t>dont</w:t>
            </w:r>
            <w:proofErr w:type="gramEnd"/>
            <w:r w:rsidRPr="00173D3D">
              <w:rPr>
                <w:rFonts w:ascii="Calibri" w:eastAsia="Times New Roman" w:hAnsi="Calibri" w:cs="Calibri"/>
                <w:i/>
                <w:iCs/>
                <w:sz w:val="22"/>
                <w:szCs w:val="22"/>
                <w:lang w:val="fr-FR" w:eastAsia="fr-FR"/>
              </w:rPr>
              <w:t xml:space="preserve"> intérêts financiers</w:t>
            </w:r>
          </w:p>
        </w:tc>
        <w:tc>
          <w:tcPr>
            <w:tcW w:w="2289" w:type="dxa"/>
            <w:tcBorders>
              <w:top w:val="nil"/>
              <w:left w:val="nil"/>
              <w:bottom w:val="single" w:sz="8" w:space="0" w:color="8EAADB"/>
              <w:right w:val="single" w:sz="8" w:space="0" w:color="8EAADB"/>
            </w:tcBorders>
            <w:shd w:val="clear" w:color="auto" w:fill="auto"/>
            <w:vAlign w:val="center"/>
            <w:hideMark/>
          </w:tcPr>
          <w:p w14:paraId="44A2B8AD" w14:textId="0669C92B" w:rsidR="00173D3D" w:rsidRPr="00173D3D" w:rsidRDefault="00173D3D" w:rsidP="00173D3D">
            <w:pPr>
              <w:spacing w:after="0" w:line="240" w:lineRule="auto"/>
              <w:jc w:val="center"/>
              <w:rPr>
                <w:rFonts w:ascii="Calibri" w:eastAsia="Times New Roman" w:hAnsi="Calibri" w:cs="Calibri"/>
                <w:i/>
                <w:iCs/>
                <w:sz w:val="22"/>
                <w:szCs w:val="22"/>
                <w:lang w:val="fr-FR" w:eastAsia="fr-FR"/>
              </w:rPr>
            </w:pPr>
            <w:r w:rsidRPr="00173D3D">
              <w:rPr>
                <w:rFonts w:ascii="Calibri" w:eastAsia="Times New Roman" w:hAnsi="Calibri" w:cs="Calibri"/>
                <w:i/>
                <w:iCs/>
                <w:sz w:val="22"/>
                <w:szCs w:val="22"/>
                <w:lang w:val="fr-FR" w:eastAsia="fr-FR"/>
              </w:rPr>
              <w:t>-762</w:t>
            </w:r>
          </w:p>
        </w:tc>
        <w:tc>
          <w:tcPr>
            <w:tcW w:w="2268" w:type="dxa"/>
            <w:tcBorders>
              <w:top w:val="nil"/>
              <w:left w:val="nil"/>
              <w:bottom w:val="single" w:sz="8" w:space="0" w:color="8EAADB"/>
              <w:right w:val="single" w:sz="8" w:space="0" w:color="8EAADB"/>
            </w:tcBorders>
            <w:shd w:val="clear" w:color="auto" w:fill="auto"/>
            <w:vAlign w:val="center"/>
            <w:hideMark/>
          </w:tcPr>
          <w:p w14:paraId="3193989E" w14:textId="565C8D0F" w:rsidR="00173D3D" w:rsidRPr="00173D3D" w:rsidRDefault="00173D3D" w:rsidP="00173D3D">
            <w:pPr>
              <w:spacing w:after="0" w:line="240" w:lineRule="auto"/>
              <w:jc w:val="center"/>
              <w:rPr>
                <w:rFonts w:ascii="Calibri" w:eastAsia="Times New Roman" w:hAnsi="Calibri" w:cs="Calibri"/>
                <w:i/>
                <w:iCs/>
                <w:sz w:val="22"/>
                <w:szCs w:val="22"/>
                <w:lang w:val="fr-FR" w:eastAsia="fr-FR"/>
              </w:rPr>
            </w:pPr>
            <w:r w:rsidRPr="00173D3D">
              <w:rPr>
                <w:rFonts w:ascii="Calibri" w:eastAsia="Times New Roman" w:hAnsi="Calibri" w:cs="Calibri"/>
                <w:i/>
                <w:iCs/>
                <w:sz w:val="22"/>
                <w:szCs w:val="22"/>
                <w:lang w:val="fr-FR" w:eastAsia="fr-FR"/>
              </w:rPr>
              <w:t>-658</w:t>
            </w:r>
          </w:p>
        </w:tc>
      </w:tr>
      <w:tr w:rsidR="00173D3D" w:rsidRPr="001F1E47" w14:paraId="3AF68A59"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tcPr>
          <w:p w14:paraId="640C4E3B" w14:textId="705B0F86" w:rsidR="00173D3D" w:rsidRPr="00173D3D" w:rsidRDefault="00173D3D" w:rsidP="00173D3D">
            <w:pPr>
              <w:spacing w:after="0" w:line="240" w:lineRule="auto"/>
              <w:jc w:val="both"/>
              <w:rPr>
                <w:rFonts w:ascii="Calibri" w:eastAsia="Times New Roman" w:hAnsi="Calibri" w:cs="Calibri"/>
                <w:b/>
                <w:bCs/>
                <w:sz w:val="22"/>
                <w:szCs w:val="22"/>
                <w:lang w:val="fr-FR" w:eastAsia="fr-FR"/>
              </w:rPr>
            </w:pPr>
            <w:r>
              <w:rPr>
                <w:rFonts w:ascii="Calibri" w:eastAsia="Times New Roman" w:hAnsi="Calibri" w:cs="Calibri"/>
                <w:b/>
                <w:bCs/>
                <w:sz w:val="22"/>
                <w:szCs w:val="22"/>
                <w:lang w:val="fr-FR" w:eastAsia="fr-FR"/>
              </w:rPr>
              <w:t>Résultat net</w:t>
            </w:r>
          </w:p>
        </w:tc>
        <w:tc>
          <w:tcPr>
            <w:tcW w:w="2289" w:type="dxa"/>
            <w:tcBorders>
              <w:top w:val="nil"/>
              <w:left w:val="nil"/>
              <w:bottom w:val="single" w:sz="8" w:space="0" w:color="8EAADB"/>
              <w:right w:val="single" w:sz="8" w:space="0" w:color="8EAADB"/>
            </w:tcBorders>
            <w:shd w:val="clear" w:color="000000" w:fill="D9E2F3"/>
            <w:vAlign w:val="center"/>
          </w:tcPr>
          <w:p w14:paraId="472221A6" w14:textId="6FC40B9F" w:rsidR="00173D3D" w:rsidRPr="001F1E47" w:rsidRDefault="00173D3D" w:rsidP="00173D3D">
            <w:pPr>
              <w:spacing w:after="0" w:line="240" w:lineRule="auto"/>
              <w:jc w:val="center"/>
              <w:rPr>
                <w:rFonts w:ascii="Calibri" w:eastAsia="Times New Roman" w:hAnsi="Calibri" w:cs="Calibri"/>
                <w:b/>
                <w:bCs/>
                <w:sz w:val="22"/>
                <w:szCs w:val="22"/>
                <w:lang w:val="fr-FR" w:eastAsia="fr-FR"/>
              </w:rPr>
            </w:pPr>
            <w:r>
              <w:rPr>
                <w:rFonts w:ascii="Calibri" w:eastAsia="Times New Roman" w:hAnsi="Calibri" w:cs="Calibri"/>
                <w:b/>
                <w:bCs/>
                <w:sz w:val="22"/>
                <w:szCs w:val="22"/>
                <w:lang w:val="fr-FR" w:eastAsia="fr-FR"/>
              </w:rPr>
              <w:t>-11 470</w:t>
            </w:r>
          </w:p>
        </w:tc>
        <w:tc>
          <w:tcPr>
            <w:tcW w:w="2268" w:type="dxa"/>
            <w:tcBorders>
              <w:top w:val="nil"/>
              <w:left w:val="nil"/>
              <w:bottom w:val="single" w:sz="8" w:space="0" w:color="8EAADB"/>
              <w:right w:val="single" w:sz="8" w:space="0" w:color="8EAADB"/>
            </w:tcBorders>
            <w:shd w:val="clear" w:color="000000" w:fill="D9E2F3"/>
            <w:vAlign w:val="center"/>
          </w:tcPr>
          <w:p w14:paraId="0371AC95" w14:textId="7DD77CF8" w:rsidR="00173D3D" w:rsidRPr="001F1E47" w:rsidRDefault="00173D3D" w:rsidP="00173D3D">
            <w:pPr>
              <w:spacing w:after="0" w:line="240" w:lineRule="auto"/>
              <w:jc w:val="center"/>
              <w:rPr>
                <w:rFonts w:ascii="Calibri" w:eastAsia="Times New Roman" w:hAnsi="Calibri" w:cs="Calibri"/>
                <w:b/>
                <w:bCs/>
                <w:sz w:val="22"/>
                <w:szCs w:val="22"/>
                <w:lang w:val="fr-FR" w:eastAsia="fr-FR"/>
              </w:rPr>
            </w:pPr>
            <w:r>
              <w:rPr>
                <w:rFonts w:ascii="Calibri" w:eastAsia="Times New Roman" w:hAnsi="Calibri" w:cs="Calibri"/>
                <w:b/>
                <w:bCs/>
                <w:sz w:val="22"/>
                <w:szCs w:val="22"/>
                <w:lang w:val="fr-FR" w:eastAsia="fr-FR"/>
              </w:rPr>
              <w:t>-12 427</w:t>
            </w:r>
          </w:p>
        </w:tc>
      </w:tr>
      <w:tr w:rsidR="00173D3D" w:rsidRPr="00173D3D" w14:paraId="35D65E3A"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tcPr>
          <w:p w14:paraId="2C58C457" w14:textId="145ED140" w:rsidR="00173D3D" w:rsidRPr="00173D3D" w:rsidRDefault="00173D3D" w:rsidP="00173D3D">
            <w:pPr>
              <w:spacing w:after="0" w:line="240" w:lineRule="auto"/>
              <w:jc w:val="both"/>
              <w:rPr>
                <w:rFonts w:ascii="Calibri" w:eastAsia="Times New Roman" w:hAnsi="Calibri" w:cs="Calibri"/>
                <w:i/>
                <w:iCs/>
                <w:sz w:val="22"/>
                <w:szCs w:val="22"/>
                <w:lang w:val="fr-FR" w:eastAsia="fr-FR"/>
              </w:rPr>
            </w:pPr>
            <w:r w:rsidRPr="00173D3D">
              <w:rPr>
                <w:rFonts w:ascii="Calibri" w:eastAsia="Times New Roman" w:hAnsi="Calibri" w:cs="Calibri"/>
                <w:i/>
                <w:iCs/>
                <w:sz w:val="22"/>
                <w:szCs w:val="22"/>
                <w:lang w:val="fr-FR" w:eastAsia="fr-FR"/>
              </w:rPr>
              <w:t>Perte par action de base et diluée (€/action)</w:t>
            </w:r>
          </w:p>
        </w:tc>
        <w:tc>
          <w:tcPr>
            <w:tcW w:w="2289" w:type="dxa"/>
            <w:tcBorders>
              <w:top w:val="nil"/>
              <w:left w:val="nil"/>
              <w:bottom w:val="single" w:sz="8" w:space="0" w:color="8EAADB"/>
              <w:right w:val="single" w:sz="8" w:space="0" w:color="8EAADB"/>
            </w:tcBorders>
            <w:shd w:val="clear" w:color="000000" w:fill="D9E2F3"/>
            <w:vAlign w:val="center"/>
          </w:tcPr>
          <w:p w14:paraId="6471157F" w14:textId="29980640" w:rsidR="00173D3D" w:rsidRPr="00173D3D" w:rsidRDefault="00173D3D" w:rsidP="00173D3D">
            <w:pPr>
              <w:spacing w:after="0" w:line="240" w:lineRule="auto"/>
              <w:jc w:val="center"/>
              <w:rPr>
                <w:rFonts w:ascii="Calibri" w:eastAsia="Times New Roman" w:hAnsi="Calibri" w:cs="Calibri"/>
                <w:i/>
                <w:iCs/>
                <w:sz w:val="22"/>
                <w:szCs w:val="22"/>
                <w:lang w:val="fr-FR" w:eastAsia="fr-FR"/>
              </w:rPr>
            </w:pPr>
            <w:r w:rsidRPr="00173D3D">
              <w:rPr>
                <w:rFonts w:ascii="Calibri" w:eastAsia="Times New Roman" w:hAnsi="Calibri" w:cs="Calibri"/>
                <w:i/>
                <w:iCs/>
                <w:sz w:val="22"/>
                <w:szCs w:val="22"/>
                <w:lang w:val="fr-FR" w:eastAsia="fr-FR"/>
              </w:rPr>
              <w:t>-1,16</w:t>
            </w:r>
          </w:p>
        </w:tc>
        <w:tc>
          <w:tcPr>
            <w:tcW w:w="2268" w:type="dxa"/>
            <w:tcBorders>
              <w:top w:val="nil"/>
              <w:left w:val="nil"/>
              <w:bottom w:val="single" w:sz="8" w:space="0" w:color="8EAADB"/>
              <w:right w:val="single" w:sz="8" w:space="0" w:color="8EAADB"/>
            </w:tcBorders>
            <w:shd w:val="clear" w:color="000000" w:fill="D9E2F3"/>
            <w:vAlign w:val="center"/>
          </w:tcPr>
          <w:p w14:paraId="61528572" w14:textId="48B7991E" w:rsidR="00173D3D" w:rsidRPr="00173D3D" w:rsidRDefault="00173D3D" w:rsidP="00173D3D">
            <w:pPr>
              <w:spacing w:after="0" w:line="240" w:lineRule="auto"/>
              <w:jc w:val="center"/>
              <w:rPr>
                <w:rFonts w:ascii="Calibri" w:eastAsia="Times New Roman" w:hAnsi="Calibri" w:cs="Calibri"/>
                <w:i/>
                <w:iCs/>
                <w:sz w:val="22"/>
                <w:szCs w:val="22"/>
                <w:lang w:val="fr-FR" w:eastAsia="fr-FR"/>
              </w:rPr>
            </w:pPr>
            <w:r w:rsidRPr="00173D3D">
              <w:rPr>
                <w:rFonts w:ascii="Calibri" w:eastAsia="Times New Roman" w:hAnsi="Calibri" w:cs="Calibri"/>
                <w:i/>
                <w:iCs/>
                <w:sz w:val="22"/>
                <w:szCs w:val="22"/>
                <w:lang w:val="fr-FR" w:eastAsia="fr-FR"/>
              </w:rPr>
              <w:t>-1,34</w:t>
            </w:r>
          </w:p>
        </w:tc>
      </w:tr>
      <w:tr w:rsidR="00173D3D" w:rsidRPr="001F1E47" w14:paraId="0DF87969"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tcPr>
          <w:p w14:paraId="418E1F0A" w14:textId="77777777" w:rsidR="00173D3D" w:rsidRPr="00173D3D" w:rsidRDefault="00173D3D" w:rsidP="00173D3D">
            <w:pPr>
              <w:spacing w:after="0" w:line="240" w:lineRule="auto"/>
              <w:jc w:val="both"/>
              <w:rPr>
                <w:rFonts w:ascii="Calibri" w:eastAsia="Times New Roman" w:hAnsi="Calibri" w:cs="Calibri"/>
                <w:b/>
                <w:bCs/>
                <w:sz w:val="22"/>
                <w:szCs w:val="22"/>
                <w:lang w:val="fr-FR" w:eastAsia="fr-FR"/>
              </w:rPr>
            </w:pPr>
          </w:p>
        </w:tc>
        <w:tc>
          <w:tcPr>
            <w:tcW w:w="2289" w:type="dxa"/>
            <w:tcBorders>
              <w:top w:val="nil"/>
              <w:left w:val="nil"/>
              <w:bottom w:val="single" w:sz="8" w:space="0" w:color="8EAADB"/>
              <w:right w:val="single" w:sz="8" w:space="0" w:color="8EAADB"/>
            </w:tcBorders>
            <w:shd w:val="clear" w:color="000000" w:fill="D9E2F3"/>
            <w:vAlign w:val="center"/>
          </w:tcPr>
          <w:p w14:paraId="044996A2" w14:textId="77777777" w:rsidR="00173D3D" w:rsidRPr="001F1E47" w:rsidRDefault="00173D3D" w:rsidP="00173D3D">
            <w:pPr>
              <w:spacing w:after="0" w:line="240" w:lineRule="auto"/>
              <w:jc w:val="center"/>
              <w:rPr>
                <w:rFonts w:ascii="Calibri" w:eastAsia="Times New Roman" w:hAnsi="Calibri" w:cs="Calibri"/>
                <w:b/>
                <w:bCs/>
                <w:sz w:val="22"/>
                <w:szCs w:val="22"/>
                <w:lang w:val="fr-FR" w:eastAsia="fr-FR"/>
              </w:rPr>
            </w:pPr>
          </w:p>
        </w:tc>
        <w:tc>
          <w:tcPr>
            <w:tcW w:w="2268" w:type="dxa"/>
            <w:tcBorders>
              <w:top w:val="nil"/>
              <w:left w:val="nil"/>
              <w:bottom w:val="single" w:sz="8" w:space="0" w:color="8EAADB"/>
              <w:right w:val="single" w:sz="8" w:space="0" w:color="8EAADB"/>
            </w:tcBorders>
            <w:shd w:val="clear" w:color="000000" w:fill="D9E2F3"/>
            <w:vAlign w:val="center"/>
          </w:tcPr>
          <w:p w14:paraId="162469B8" w14:textId="77777777" w:rsidR="00173D3D" w:rsidRPr="001F1E47" w:rsidRDefault="00173D3D" w:rsidP="00173D3D">
            <w:pPr>
              <w:spacing w:after="0" w:line="240" w:lineRule="auto"/>
              <w:jc w:val="center"/>
              <w:rPr>
                <w:rFonts w:ascii="Calibri" w:eastAsia="Times New Roman" w:hAnsi="Calibri" w:cs="Calibri"/>
                <w:b/>
                <w:bCs/>
                <w:sz w:val="22"/>
                <w:szCs w:val="22"/>
                <w:lang w:val="fr-FR" w:eastAsia="fr-FR"/>
              </w:rPr>
            </w:pPr>
          </w:p>
        </w:tc>
      </w:tr>
      <w:tr w:rsidR="00173D3D" w:rsidRPr="001F1E47" w14:paraId="4ED3F285"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hideMark/>
          </w:tcPr>
          <w:p w14:paraId="2FEC93EB" w14:textId="77777777" w:rsidR="00173D3D" w:rsidRPr="00173D3D" w:rsidRDefault="00173D3D" w:rsidP="00173D3D">
            <w:pPr>
              <w:spacing w:after="0" w:line="240" w:lineRule="auto"/>
              <w:jc w:val="both"/>
              <w:rPr>
                <w:rFonts w:ascii="Calibri" w:eastAsia="Times New Roman" w:hAnsi="Calibri" w:cs="Calibri"/>
                <w:b/>
                <w:bCs/>
                <w:color w:val="000000"/>
                <w:sz w:val="22"/>
                <w:szCs w:val="22"/>
                <w:lang w:val="fr-FR" w:eastAsia="fr-FR"/>
              </w:rPr>
            </w:pPr>
            <w:r w:rsidRPr="00173D3D">
              <w:rPr>
                <w:rFonts w:ascii="Calibri" w:eastAsia="Times New Roman" w:hAnsi="Calibri" w:cs="Calibri"/>
                <w:b/>
                <w:bCs/>
                <w:sz w:val="22"/>
                <w:szCs w:val="22"/>
                <w:lang w:val="fr-FR" w:eastAsia="fr-FR"/>
              </w:rPr>
              <w:t>Trésorerie d’ouverture</w:t>
            </w:r>
          </w:p>
        </w:tc>
        <w:tc>
          <w:tcPr>
            <w:tcW w:w="2289" w:type="dxa"/>
            <w:tcBorders>
              <w:top w:val="nil"/>
              <w:left w:val="nil"/>
              <w:bottom w:val="single" w:sz="8" w:space="0" w:color="8EAADB"/>
              <w:right w:val="single" w:sz="8" w:space="0" w:color="8EAADB"/>
            </w:tcBorders>
            <w:shd w:val="clear" w:color="000000" w:fill="D9E2F3"/>
            <w:vAlign w:val="center"/>
            <w:hideMark/>
          </w:tcPr>
          <w:p w14:paraId="21F3749E" w14:textId="41162FCD" w:rsidR="00173D3D" w:rsidRPr="001F1E47" w:rsidRDefault="00173D3D" w:rsidP="00173D3D">
            <w:pPr>
              <w:spacing w:after="0" w:line="240" w:lineRule="auto"/>
              <w:jc w:val="center"/>
              <w:rPr>
                <w:rFonts w:ascii="Calibri" w:eastAsia="Times New Roman" w:hAnsi="Calibri" w:cs="Calibri"/>
                <w:b/>
                <w:bCs/>
                <w:color w:val="000000"/>
                <w:sz w:val="22"/>
                <w:szCs w:val="22"/>
                <w:lang w:val="fr-FR" w:eastAsia="fr-FR"/>
              </w:rPr>
            </w:pPr>
            <w:r w:rsidRPr="001F1E47">
              <w:rPr>
                <w:rFonts w:ascii="Calibri" w:eastAsia="Times New Roman" w:hAnsi="Calibri" w:cs="Calibri"/>
                <w:b/>
                <w:bCs/>
                <w:sz w:val="22"/>
                <w:szCs w:val="22"/>
                <w:lang w:val="fr-FR" w:eastAsia="fr-FR"/>
              </w:rPr>
              <w:t>1</w:t>
            </w:r>
            <w:r>
              <w:rPr>
                <w:rFonts w:ascii="Calibri" w:eastAsia="Times New Roman" w:hAnsi="Calibri" w:cs="Calibri"/>
                <w:b/>
                <w:bCs/>
                <w:sz w:val="22"/>
                <w:szCs w:val="22"/>
                <w:lang w:val="fr-FR" w:eastAsia="fr-FR"/>
              </w:rPr>
              <w:t>2 685</w:t>
            </w:r>
          </w:p>
        </w:tc>
        <w:tc>
          <w:tcPr>
            <w:tcW w:w="2268" w:type="dxa"/>
            <w:tcBorders>
              <w:top w:val="nil"/>
              <w:left w:val="nil"/>
              <w:bottom w:val="single" w:sz="8" w:space="0" w:color="8EAADB"/>
              <w:right w:val="single" w:sz="8" w:space="0" w:color="8EAADB"/>
            </w:tcBorders>
            <w:shd w:val="clear" w:color="000000" w:fill="D9E2F3"/>
            <w:vAlign w:val="center"/>
            <w:hideMark/>
          </w:tcPr>
          <w:p w14:paraId="13CD8780" w14:textId="75754575" w:rsidR="00173D3D" w:rsidRPr="001F1E47" w:rsidRDefault="00173D3D" w:rsidP="00173D3D">
            <w:pPr>
              <w:spacing w:after="0" w:line="240" w:lineRule="auto"/>
              <w:jc w:val="center"/>
              <w:rPr>
                <w:rFonts w:ascii="Calibri" w:eastAsia="Times New Roman" w:hAnsi="Calibri" w:cs="Calibri"/>
                <w:b/>
                <w:bCs/>
                <w:color w:val="000000"/>
                <w:sz w:val="22"/>
                <w:szCs w:val="22"/>
                <w:lang w:val="fr-FR" w:eastAsia="fr-FR"/>
              </w:rPr>
            </w:pPr>
            <w:r w:rsidRPr="001F1E47">
              <w:rPr>
                <w:rFonts w:ascii="Calibri" w:eastAsia="Times New Roman" w:hAnsi="Calibri" w:cs="Calibri"/>
                <w:b/>
                <w:bCs/>
                <w:sz w:val="22"/>
                <w:szCs w:val="22"/>
                <w:lang w:val="fr-FR" w:eastAsia="fr-FR"/>
              </w:rPr>
              <w:t>16 771</w:t>
            </w:r>
          </w:p>
        </w:tc>
      </w:tr>
      <w:tr w:rsidR="00173D3D" w:rsidRPr="001F1E47" w14:paraId="366F9E1B" w14:textId="77777777" w:rsidTr="007F31B6">
        <w:trPr>
          <w:trHeight w:val="260"/>
          <w:jc w:val="center"/>
        </w:trPr>
        <w:tc>
          <w:tcPr>
            <w:tcW w:w="5072" w:type="dxa"/>
            <w:tcBorders>
              <w:top w:val="nil"/>
              <w:left w:val="single" w:sz="8" w:space="0" w:color="8EAADB"/>
              <w:bottom w:val="single" w:sz="8" w:space="0" w:color="8EAADB"/>
              <w:right w:val="single" w:sz="8" w:space="0" w:color="8EAADB"/>
            </w:tcBorders>
            <w:shd w:val="clear" w:color="auto" w:fill="auto"/>
            <w:vAlign w:val="center"/>
            <w:hideMark/>
          </w:tcPr>
          <w:p w14:paraId="340BBAEC" w14:textId="77777777" w:rsidR="00173D3D" w:rsidRPr="00173D3D" w:rsidRDefault="00173D3D" w:rsidP="00173D3D">
            <w:pPr>
              <w:spacing w:after="0" w:line="240" w:lineRule="auto"/>
              <w:jc w:val="both"/>
              <w:rPr>
                <w:rFonts w:ascii="Calibri" w:eastAsia="Times New Roman" w:hAnsi="Calibri" w:cs="Calibri"/>
                <w:i/>
                <w:iCs/>
                <w:sz w:val="22"/>
                <w:szCs w:val="22"/>
                <w:lang w:val="fr-FR" w:eastAsia="fr-FR"/>
              </w:rPr>
            </w:pPr>
            <w:r w:rsidRPr="00173D3D">
              <w:rPr>
                <w:rFonts w:ascii="Calibri" w:eastAsia="Times New Roman" w:hAnsi="Calibri" w:cs="Calibri"/>
                <w:i/>
                <w:iCs/>
                <w:sz w:val="22"/>
                <w:szCs w:val="22"/>
                <w:lang w:val="fr-FR" w:eastAsia="fr-FR"/>
              </w:rPr>
              <w:t>Flux de trésorerie liés aux activités opérationnelles</w:t>
            </w:r>
          </w:p>
        </w:tc>
        <w:tc>
          <w:tcPr>
            <w:tcW w:w="2289" w:type="dxa"/>
            <w:tcBorders>
              <w:top w:val="nil"/>
              <w:left w:val="nil"/>
              <w:bottom w:val="single" w:sz="8" w:space="0" w:color="8EAADB"/>
              <w:right w:val="single" w:sz="8" w:space="0" w:color="8EAADB"/>
            </w:tcBorders>
            <w:shd w:val="clear" w:color="auto" w:fill="auto"/>
            <w:vAlign w:val="center"/>
            <w:hideMark/>
          </w:tcPr>
          <w:p w14:paraId="410ECB12" w14:textId="0723C9E5" w:rsidR="00173D3D" w:rsidRPr="007F31B6" w:rsidRDefault="00173D3D" w:rsidP="00173D3D">
            <w:pPr>
              <w:spacing w:after="0" w:line="240" w:lineRule="auto"/>
              <w:jc w:val="center"/>
              <w:rPr>
                <w:rFonts w:ascii="Calibri" w:eastAsia="Times New Roman" w:hAnsi="Calibri" w:cs="Calibri"/>
                <w:i/>
                <w:iCs/>
                <w:lang w:val="fr-FR" w:eastAsia="fr-FR"/>
              </w:rPr>
            </w:pPr>
            <w:r w:rsidRPr="007F31B6">
              <w:rPr>
                <w:rFonts w:ascii="Calibri" w:eastAsia="Times New Roman" w:hAnsi="Calibri" w:cs="Calibri"/>
                <w:i/>
                <w:iCs/>
                <w:lang w:val="fr-FR" w:eastAsia="fr-FR"/>
              </w:rPr>
              <w:t>-9 147</w:t>
            </w:r>
          </w:p>
        </w:tc>
        <w:tc>
          <w:tcPr>
            <w:tcW w:w="2268" w:type="dxa"/>
            <w:tcBorders>
              <w:top w:val="nil"/>
              <w:left w:val="nil"/>
              <w:bottom w:val="single" w:sz="8" w:space="0" w:color="8EAADB"/>
              <w:right w:val="single" w:sz="8" w:space="0" w:color="8EAADB"/>
            </w:tcBorders>
            <w:shd w:val="clear" w:color="auto" w:fill="auto"/>
            <w:vAlign w:val="center"/>
            <w:hideMark/>
          </w:tcPr>
          <w:p w14:paraId="6F915B7C" w14:textId="45064B6A" w:rsidR="00173D3D" w:rsidRPr="007F31B6" w:rsidRDefault="00173D3D" w:rsidP="00173D3D">
            <w:pPr>
              <w:spacing w:after="0" w:line="240" w:lineRule="auto"/>
              <w:jc w:val="center"/>
              <w:rPr>
                <w:rFonts w:ascii="Calibri" w:eastAsia="Times New Roman" w:hAnsi="Calibri" w:cs="Calibri"/>
                <w:i/>
                <w:iCs/>
                <w:lang w:val="fr-FR" w:eastAsia="fr-FR"/>
              </w:rPr>
            </w:pPr>
            <w:r w:rsidRPr="007F31B6">
              <w:rPr>
                <w:rFonts w:ascii="Calibri" w:eastAsia="Times New Roman" w:hAnsi="Calibri" w:cs="Calibri"/>
                <w:i/>
                <w:iCs/>
                <w:lang w:val="fr-FR" w:eastAsia="fr-FR"/>
              </w:rPr>
              <w:t>-12 525</w:t>
            </w:r>
          </w:p>
        </w:tc>
      </w:tr>
      <w:tr w:rsidR="00173D3D" w:rsidRPr="001F1E47" w14:paraId="08567AF9" w14:textId="77777777" w:rsidTr="007F31B6">
        <w:trPr>
          <w:trHeight w:val="260"/>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hideMark/>
          </w:tcPr>
          <w:p w14:paraId="73114799" w14:textId="156F5C82" w:rsidR="00173D3D" w:rsidRPr="00173D3D" w:rsidRDefault="00173D3D" w:rsidP="00173D3D">
            <w:pPr>
              <w:spacing w:after="0" w:line="240" w:lineRule="auto"/>
              <w:jc w:val="both"/>
              <w:rPr>
                <w:rFonts w:ascii="Calibri" w:eastAsia="Times New Roman" w:hAnsi="Calibri" w:cs="Calibri"/>
                <w:i/>
                <w:iCs/>
                <w:color w:val="000000"/>
                <w:sz w:val="22"/>
                <w:szCs w:val="22"/>
                <w:lang w:val="fr-FR" w:eastAsia="fr-FR"/>
              </w:rPr>
            </w:pPr>
            <w:r w:rsidRPr="00173D3D">
              <w:rPr>
                <w:rFonts w:ascii="Calibri" w:eastAsia="Times New Roman" w:hAnsi="Calibri" w:cs="Calibri"/>
                <w:i/>
                <w:iCs/>
                <w:sz w:val="22"/>
                <w:szCs w:val="22"/>
                <w:lang w:val="fr-FR" w:eastAsia="fr-FR"/>
              </w:rPr>
              <w:t>Flux de trésorerie liés aux activités d’investissement</w:t>
            </w:r>
          </w:p>
        </w:tc>
        <w:tc>
          <w:tcPr>
            <w:tcW w:w="2289" w:type="dxa"/>
            <w:tcBorders>
              <w:top w:val="nil"/>
              <w:left w:val="nil"/>
              <w:bottom w:val="single" w:sz="8" w:space="0" w:color="8EAADB"/>
              <w:right w:val="single" w:sz="8" w:space="0" w:color="8EAADB"/>
            </w:tcBorders>
            <w:shd w:val="clear" w:color="000000" w:fill="D9E2F3"/>
            <w:vAlign w:val="center"/>
            <w:hideMark/>
          </w:tcPr>
          <w:p w14:paraId="78F4B7F5" w14:textId="48C0D20F" w:rsidR="00173D3D" w:rsidRPr="007F31B6" w:rsidRDefault="00173D3D" w:rsidP="00173D3D">
            <w:pPr>
              <w:spacing w:after="0" w:line="240" w:lineRule="auto"/>
              <w:jc w:val="center"/>
              <w:rPr>
                <w:rFonts w:ascii="Calibri" w:eastAsia="Times New Roman" w:hAnsi="Calibri" w:cs="Calibri"/>
                <w:i/>
                <w:iCs/>
                <w:color w:val="000000"/>
                <w:lang w:val="fr-FR" w:eastAsia="fr-FR"/>
              </w:rPr>
            </w:pPr>
            <w:r w:rsidRPr="007F31B6">
              <w:rPr>
                <w:rFonts w:ascii="Calibri" w:eastAsia="Times New Roman" w:hAnsi="Calibri" w:cs="Calibri"/>
                <w:i/>
                <w:iCs/>
                <w:lang w:val="fr-FR" w:eastAsia="fr-FR"/>
              </w:rPr>
              <w:t>-2</w:t>
            </w:r>
          </w:p>
        </w:tc>
        <w:tc>
          <w:tcPr>
            <w:tcW w:w="2268" w:type="dxa"/>
            <w:tcBorders>
              <w:top w:val="nil"/>
              <w:left w:val="nil"/>
              <w:bottom w:val="single" w:sz="8" w:space="0" w:color="8EAADB"/>
              <w:right w:val="single" w:sz="8" w:space="0" w:color="8EAADB"/>
            </w:tcBorders>
            <w:shd w:val="clear" w:color="000000" w:fill="D9E2F3"/>
            <w:vAlign w:val="center"/>
            <w:hideMark/>
          </w:tcPr>
          <w:p w14:paraId="5F422A1D" w14:textId="06352653" w:rsidR="00173D3D" w:rsidRPr="007F31B6" w:rsidRDefault="00173D3D" w:rsidP="00173D3D">
            <w:pPr>
              <w:spacing w:after="0" w:line="240" w:lineRule="auto"/>
              <w:jc w:val="center"/>
              <w:rPr>
                <w:rFonts w:ascii="Calibri" w:eastAsia="Times New Roman" w:hAnsi="Calibri" w:cs="Calibri"/>
                <w:i/>
                <w:iCs/>
                <w:color w:val="000000"/>
                <w:lang w:val="fr-FR" w:eastAsia="fr-FR"/>
              </w:rPr>
            </w:pPr>
            <w:r w:rsidRPr="007F31B6">
              <w:rPr>
                <w:rFonts w:ascii="Calibri" w:eastAsia="Times New Roman" w:hAnsi="Calibri" w:cs="Calibri"/>
                <w:i/>
                <w:iCs/>
                <w:lang w:val="fr-FR" w:eastAsia="fr-FR"/>
              </w:rPr>
              <w:t>-451</w:t>
            </w:r>
          </w:p>
        </w:tc>
      </w:tr>
      <w:tr w:rsidR="00173D3D" w:rsidRPr="001F1E47" w14:paraId="3B08D96A" w14:textId="77777777" w:rsidTr="007F31B6">
        <w:trPr>
          <w:trHeight w:val="260"/>
          <w:jc w:val="center"/>
        </w:trPr>
        <w:tc>
          <w:tcPr>
            <w:tcW w:w="5072" w:type="dxa"/>
            <w:tcBorders>
              <w:top w:val="nil"/>
              <w:left w:val="single" w:sz="8" w:space="0" w:color="8EAADB"/>
              <w:bottom w:val="single" w:sz="8" w:space="0" w:color="8EAADB"/>
              <w:right w:val="single" w:sz="8" w:space="0" w:color="8EAADB"/>
            </w:tcBorders>
            <w:shd w:val="clear" w:color="auto" w:fill="auto"/>
            <w:vAlign w:val="center"/>
            <w:hideMark/>
          </w:tcPr>
          <w:p w14:paraId="78B84D2A" w14:textId="77777777" w:rsidR="00173D3D" w:rsidRPr="00173D3D" w:rsidRDefault="00173D3D" w:rsidP="00173D3D">
            <w:pPr>
              <w:spacing w:after="0" w:line="240" w:lineRule="auto"/>
              <w:jc w:val="both"/>
              <w:rPr>
                <w:rFonts w:ascii="Calibri" w:eastAsia="Times New Roman" w:hAnsi="Calibri" w:cs="Calibri"/>
                <w:i/>
                <w:iCs/>
                <w:sz w:val="22"/>
                <w:szCs w:val="22"/>
                <w:lang w:val="fr-FR" w:eastAsia="fr-FR"/>
              </w:rPr>
            </w:pPr>
            <w:r w:rsidRPr="00173D3D">
              <w:rPr>
                <w:rFonts w:ascii="Calibri" w:eastAsia="Times New Roman" w:hAnsi="Calibri" w:cs="Calibri"/>
                <w:i/>
                <w:iCs/>
                <w:sz w:val="22"/>
                <w:szCs w:val="22"/>
                <w:lang w:val="fr-FR" w:eastAsia="fr-FR"/>
              </w:rPr>
              <w:t>Flux de trésorerie liés aux activités de financement</w:t>
            </w:r>
          </w:p>
        </w:tc>
        <w:tc>
          <w:tcPr>
            <w:tcW w:w="2289" w:type="dxa"/>
            <w:tcBorders>
              <w:top w:val="nil"/>
              <w:left w:val="nil"/>
              <w:bottom w:val="single" w:sz="8" w:space="0" w:color="8EAADB"/>
              <w:right w:val="single" w:sz="8" w:space="0" w:color="8EAADB"/>
            </w:tcBorders>
            <w:shd w:val="clear" w:color="auto" w:fill="auto"/>
            <w:vAlign w:val="center"/>
            <w:hideMark/>
          </w:tcPr>
          <w:p w14:paraId="517532A0" w14:textId="671B9F19" w:rsidR="00173D3D" w:rsidRPr="007F31B6" w:rsidRDefault="00173D3D" w:rsidP="00173D3D">
            <w:pPr>
              <w:spacing w:after="0" w:line="240" w:lineRule="auto"/>
              <w:jc w:val="center"/>
              <w:rPr>
                <w:rFonts w:ascii="Calibri" w:eastAsia="Times New Roman" w:hAnsi="Calibri" w:cs="Calibri"/>
                <w:i/>
                <w:iCs/>
                <w:lang w:val="fr-FR" w:eastAsia="fr-FR"/>
              </w:rPr>
            </w:pPr>
            <w:r w:rsidRPr="007F31B6">
              <w:rPr>
                <w:rFonts w:ascii="Calibri" w:eastAsia="Times New Roman" w:hAnsi="Calibri" w:cs="Calibri"/>
                <w:i/>
                <w:iCs/>
                <w:lang w:val="fr-FR" w:eastAsia="fr-FR"/>
              </w:rPr>
              <w:t>4 783</w:t>
            </w:r>
          </w:p>
        </w:tc>
        <w:tc>
          <w:tcPr>
            <w:tcW w:w="2268" w:type="dxa"/>
            <w:tcBorders>
              <w:top w:val="nil"/>
              <w:left w:val="nil"/>
              <w:bottom w:val="single" w:sz="8" w:space="0" w:color="8EAADB"/>
              <w:right w:val="single" w:sz="8" w:space="0" w:color="8EAADB"/>
            </w:tcBorders>
            <w:shd w:val="clear" w:color="auto" w:fill="auto"/>
            <w:vAlign w:val="center"/>
            <w:hideMark/>
          </w:tcPr>
          <w:p w14:paraId="18241365" w14:textId="2602167F" w:rsidR="00173D3D" w:rsidRPr="007F31B6" w:rsidRDefault="00173D3D" w:rsidP="00173D3D">
            <w:pPr>
              <w:spacing w:after="0" w:line="240" w:lineRule="auto"/>
              <w:jc w:val="center"/>
              <w:rPr>
                <w:rFonts w:ascii="Calibri" w:eastAsia="Times New Roman" w:hAnsi="Calibri" w:cs="Calibri"/>
                <w:i/>
                <w:iCs/>
                <w:lang w:val="fr-FR" w:eastAsia="fr-FR"/>
              </w:rPr>
            </w:pPr>
            <w:r w:rsidRPr="007F31B6">
              <w:rPr>
                <w:rFonts w:ascii="Calibri" w:eastAsia="Times New Roman" w:hAnsi="Calibri" w:cs="Calibri"/>
                <w:i/>
                <w:iCs/>
                <w:lang w:val="fr-FR" w:eastAsia="fr-FR"/>
              </w:rPr>
              <w:t>8 909</w:t>
            </w:r>
          </w:p>
        </w:tc>
      </w:tr>
      <w:tr w:rsidR="00173D3D" w:rsidRPr="001F1E47" w14:paraId="5C5035EA" w14:textId="77777777" w:rsidTr="007F31B6">
        <w:trPr>
          <w:trHeight w:val="289"/>
          <w:jc w:val="center"/>
        </w:trPr>
        <w:tc>
          <w:tcPr>
            <w:tcW w:w="5072" w:type="dxa"/>
            <w:tcBorders>
              <w:top w:val="nil"/>
              <w:left w:val="single" w:sz="8" w:space="0" w:color="8EAADB"/>
              <w:bottom w:val="single" w:sz="8" w:space="0" w:color="8EAADB"/>
              <w:right w:val="single" w:sz="8" w:space="0" w:color="8EAADB"/>
            </w:tcBorders>
            <w:shd w:val="clear" w:color="000000" w:fill="D9E2F3"/>
            <w:vAlign w:val="center"/>
            <w:hideMark/>
          </w:tcPr>
          <w:p w14:paraId="5D899B89" w14:textId="0D711B7C" w:rsidR="00173D3D" w:rsidRPr="00173D3D" w:rsidRDefault="00173D3D" w:rsidP="00173D3D">
            <w:pPr>
              <w:spacing w:after="0" w:line="240" w:lineRule="auto"/>
              <w:jc w:val="both"/>
              <w:rPr>
                <w:rFonts w:ascii="Calibri" w:eastAsia="Times New Roman" w:hAnsi="Calibri" w:cs="Calibri"/>
                <w:sz w:val="22"/>
                <w:szCs w:val="22"/>
                <w:lang w:val="fr-FR" w:eastAsia="fr-FR"/>
              </w:rPr>
            </w:pPr>
            <w:r w:rsidRPr="00173D3D">
              <w:rPr>
                <w:rFonts w:ascii="Calibri" w:eastAsia="Times New Roman" w:hAnsi="Calibri" w:cs="Calibri"/>
                <w:b/>
                <w:bCs/>
                <w:sz w:val="22"/>
                <w:szCs w:val="22"/>
                <w:lang w:val="fr-FR" w:eastAsia="fr-FR"/>
              </w:rPr>
              <w:t>Trésorerie de clôture</w:t>
            </w:r>
          </w:p>
        </w:tc>
        <w:tc>
          <w:tcPr>
            <w:tcW w:w="2289" w:type="dxa"/>
            <w:tcBorders>
              <w:top w:val="nil"/>
              <w:left w:val="nil"/>
              <w:bottom w:val="single" w:sz="8" w:space="0" w:color="8EAADB"/>
              <w:right w:val="single" w:sz="8" w:space="0" w:color="8EAADB"/>
            </w:tcBorders>
            <w:shd w:val="clear" w:color="000000" w:fill="D9E2F3"/>
            <w:vAlign w:val="center"/>
            <w:hideMark/>
          </w:tcPr>
          <w:p w14:paraId="0320C36B" w14:textId="34A73EB6" w:rsidR="00173D3D" w:rsidRPr="001F1E47" w:rsidRDefault="00A322EC" w:rsidP="00173D3D">
            <w:pPr>
              <w:spacing w:after="0" w:line="240" w:lineRule="auto"/>
              <w:jc w:val="center"/>
              <w:rPr>
                <w:rFonts w:ascii="Calibri" w:eastAsia="Times New Roman" w:hAnsi="Calibri" w:cs="Calibri"/>
                <w:b/>
                <w:bCs/>
                <w:sz w:val="22"/>
                <w:szCs w:val="22"/>
                <w:lang w:val="fr-FR" w:eastAsia="fr-FR"/>
              </w:rPr>
            </w:pPr>
            <w:r>
              <w:rPr>
                <w:rFonts w:ascii="Calibri" w:eastAsia="Times New Roman" w:hAnsi="Calibri" w:cs="Calibri"/>
                <w:b/>
                <w:bCs/>
                <w:sz w:val="22"/>
                <w:szCs w:val="22"/>
                <w:lang w:val="fr-FR" w:eastAsia="fr-FR"/>
              </w:rPr>
              <w:t>8 322</w:t>
            </w:r>
          </w:p>
        </w:tc>
        <w:tc>
          <w:tcPr>
            <w:tcW w:w="2268" w:type="dxa"/>
            <w:tcBorders>
              <w:top w:val="nil"/>
              <w:left w:val="nil"/>
              <w:bottom w:val="single" w:sz="8" w:space="0" w:color="8EAADB"/>
              <w:right w:val="single" w:sz="8" w:space="0" w:color="8EAADB"/>
            </w:tcBorders>
            <w:shd w:val="clear" w:color="000000" w:fill="D9E2F3"/>
            <w:vAlign w:val="center"/>
            <w:hideMark/>
          </w:tcPr>
          <w:p w14:paraId="1AF5A1E3" w14:textId="6D1AEB6A" w:rsidR="00173D3D" w:rsidRPr="001F1E47" w:rsidRDefault="00173D3D" w:rsidP="00173D3D">
            <w:pPr>
              <w:spacing w:after="0" w:line="240" w:lineRule="auto"/>
              <w:jc w:val="center"/>
              <w:rPr>
                <w:rFonts w:ascii="Calibri" w:eastAsia="Times New Roman" w:hAnsi="Calibri" w:cs="Calibri"/>
                <w:b/>
                <w:bCs/>
                <w:sz w:val="22"/>
                <w:szCs w:val="22"/>
                <w:lang w:val="fr-FR" w:eastAsia="fr-FR"/>
              </w:rPr>
            </w:pPr>
            <w:r w:rsidRPr="001F1E47">
              <w:rPr>
                <w:rFonts w:ascii="Calibri" w:eastAsia="Times New Roman" w:hAnsi="Calibri" w:cs="Calibri"/>
                <w:b/>
                <w:bCs/>
                <w:sz w:val="22"/>
                <w:szCs w:val="22"/>
                <w:lang w:val="fr-FR" w:eastAsia="fr-FR"/>
              </w:rPr>
              <w:t>12 685</w:t>
            </w:r>
          </w:p>
        </w:tc>
      </w:tr>
    </w:tbl>
    <w:p w14:paraId="28A020D2" w14:textId="13B54CCF" w:rsidR="004A2440" w:rsidRDefault="004A2440" w:rsidP="004A2440">
      <w:pPr>
        <w:spacing w:after="0" w:line="240" w:lineRule="auto"/>
        <w:rPr>
          <w:b/>
          <w:bCs/>
          <w:sz w:val="22"/>
          <w:szCs w:val="22"/>
          <w:lang w:val="fr-FR"/>
        </w:rPr>
      </w:pPr>
    </w:p>
    <w:p w14:paraId="2D5052A7" w14:textId="77777777" w:rsidR="00E14231" w:rsidRDefault="00E14231" w:rsidP="004A2440">
      <w:pPr>
        <w:spacing w:after="0" w:line="240" w:lineRule="auto"/>
        <w:rPr>
          <w:b/>
          <w:bCs/>
          <w:sz w:val="22"/>
          <w:szCs w:val="22"/>
          <w:lang w:val="fr-FR"/>
        </w:rPr>
      </w:pPr>
    </w:p>
    <w:p w14:paraId="0A047CEA" w14:textId="761A637F" w:rsidR="00550DE9" w:rsidRPr="004A2440" w:rsidRDefault="00550DE9" w:rsidP="004A2440">
      <w:pPr>
        <w:pStyle w:val="Paragraphedeliste"/>
        <w:numPr>
          <w:ilvl w:val="0"/>
          <w:numId w:val="9"/>
        </w:numPr>
        <w:spacing w:after="0" w:line="240" w:lineRule="auto"/>
        <w:rPr>
          <w:b/>
          <w:bCs/>
          <w:sz w:val="22"/>
          <w:szCs w:val="22"/>
          <w:lang w:val="fr-FR"/>
        </w:rPr>
      </w:pPr>
      <w:r w:rsidRPr="004A2440">
        <w:rPr>
          <w:b/>
          <w:bCs/>
          <w:sz w:val="22"/>
          <w:szCs w:val="22"/>
          <w:lang w:val="fr-FR"/>
        </w:rPr>
        <w:t>Principales données financières 202</w:t>
      </w:r>
      <w:r w:rsidR="00173D3D">
        <w:rPr>
          <w:b/>
          <w:bCs/>
          <w:sz w:val="22"/>
          <w:szCs w:val="22"/>
          <w:lang w:val="fr-FR"/>
        </w:rPr>
        <w:t>2</w:t>
      </w:r>
    </w:p>
    <w:p w14:paraId="69874C16" w14:textId="77777777" w:rsidR="00484574" w:rsidRDefault="00484574" w:rsidP="00311D8B">
      <w:pPr>
        <w:spacing w:after="0" w:line="240" w:lineRule="auto"/>
        <w:jc w:val="both"/>
        <w:rPr>
          <w:noProof/>
          <w:sz w:val="22"/>
          <w:szCs w:val="22"/>
          <w:lang w:val="fr-FR"/>
        </w:rPr>
      </w:pPr>
    </w:p>
    <w:p w14:paraId="52734B78" w14:textId="78B278F8" w:rsidR="009B6218" w:rsidRDefault="009B6218" w:rsidP="000B0B1D">
      <w:pPr>
        <w:spacing w:after="0" w:line="240" w:lineRule="auto"/>
        <w:jc w:val="center"/>
        <w:rPr>
          <w:noProof/>
          <w:sz w:val="22"/>
          <w:szCs w:val="22"/>
          <w:lang w:val="fr-FR"/>
        </w:rPr>
      </w:pPr>
    </w:p>
    <w:p w14:paraId="2D55A025" w14:textId="3F0977BA" w:rsidR="00550DE9" w:rsidRPr="00173D3D" w:rsidRDefault="003557AE" w:rsidP="00550DE9">
      <w:pPr>
        <w:spacing w:after="0" w:line="240" w:lineRule="auto"/>
        <w:jc w:val="both"/>
        <w:rPr>
          <w:sz w:val="22"/>
          <w:szCs w:val="22"/>
          <w:lang w:val="fr-FR"/>
        </w:rPr>
      </w:pPr>
      <w:r>
        <w:rPr>
          <w:b/>
          <w:bCs/>
          <w:sz w:val="22"/>
          <w:szCs w:val="22"/>
          <w:lang w:val="fr-FR"/>
        </w:rPr>
        <w:t>Les ventes brutes</w:t>
      </w:r>
      <w:r w:rsidR="00173D3D" w:rsidRPr="00173D3D">
        <w:rPr>
          <w:b/>
          <w:bCs/>
          <w:sz w:val="22"/>
          <w:szCs w:val="22"/>
          <w:lang w:val="fr-FR"/>
        </w:rPr>
        <w:t xml:space="preserve"> </w:t>
      </w:r>
      <w:r>
        <w:rPr>
          <w:sz w:val="22"/>
          <w:szCs w:val="22"/>
          <w:lang w:val="fr-FR"/>
        </w:rPr>
        <w:t>ont atteint</w:t>
      </w:r>
      <w:r w:rsidR="00173D3D" w:rsidRPr="00173D3D">
        <w:rPr>
          <w:sz w:val="22"/>
          <w:szCs w:val="22"/>
          <w:lang w:val="fr-FR"/>
        </w:rPr>
        <w:t xml:space="preserve"> 3,7 millions d'euros en 2022, en hausse de 14% par rapport à 2021. Sibnayal® a généré </w:t>
      </w:r>
      <w:r>
        <w:rPr>
          <w:sz w:val="22"/>
          <w:szCs w:val="22"/>
          <w:lang w:val="fr-FR"/>
        </w:rPr>
        <w:t>des vente</w:t>
      </w:r>
      <w:r w:rsidR="00FE5201">
        <w:rPr>
          <w:sz w:val="22"/>
          <w:szCs w:val="22"/>
          <w:lang w:val="fr-FR"/>
        </w:rPr>
        <w:t>s</w:t>
      </w:r>
      <w:r w:rsidR="00173D3D" w:rsidRPr="00173D3D">
        <w:rPr>
          <w:sz w:val="22"/>
          <w:szCs w:val="22"/>
          <w:lang w:val="fr-FR"/>
        </w:rPr>
        <w:t xml:space="preserve"> </w:t>
      </w:r>
      <w:r>
        <w:rPr>
          <w:sz w:val="22"/>
          <w:szCs w:val="22"/>
          <w:lang w:val="fr-FR"/>
        </w:rPr>
        <w:t xml:space="preserve">brutes </w:t>
      </w:r>
      <w:r w:rsidR="00173D3D" w:rsidRPr="00173D3D">
        <w:rPr>
          <w:sz w:val="22"/>
          <w:szCs w:val="22"/>
          <w:lang w:val="fr-FR"/>
        </w:rPr>
        <w:t>de 1,4 million d'euros (contre 1</w:t>
      </w:r>
      <w:r w:rsidR="00E14231">
        <w:rPr>
          <w:sz w:val="22"/>
          <w:szCs w:val="22"/>
          <w:lang w:val="fr-FR"/>
        </w:rPr>
        <w:t>,0</w:t>
      </w:r>
      <w:r w:rsidR="00173D3D" w:rsidRPr="00173D3D">
        <w:rPr>
          <w:sz w:val="22"/>
          <w:szCs w:val="22"/>
          <w:lang w:val="fr-FR"/>
        </w:rPr>
        <w:t xml:space="preserve"> million d'euros en 2021) et a tiré la croissance globale d'Advicenne. Les ventes unitaires de Sibnayal® ont plus que doublé (+110%) principalement alimentées par la croissance en France et les premières commandes des </w:t>
      </w:r>
      <w:r w:rsidR="00173D3D">
        <w:rPr>
          <w:sz w:val="22"/>
          <w:szCs w:val="22"/>
          <w:lang w:val="fr-FR"/>
        </w:rPr>
        <w:t xml:space="preserve">partenaires </w:t>
      </w:r>
      <w:r w:rsidR="00173D3D" w:rsidRPr="00173D3D">
        <w:rPr>
          <w:sz w:val="22"/>
          <w:szCs w:val="22"/>
          <w:lang w:val="fr-FR"/>
        </w:rPr>
        <w:t>distributeurs. Ces dernières ont eu un impact sur le prix de vente moyen initial et seront compensées ultérieurement par l'augmentation attendue du flux de redevances.</w:t>
      </w:r>
    </w:p>
    <w:p w14:paraId="65FC1C0D" w14:textId="77777777" w:rsidR="00173D3D" w:rsidRDefault="00173D3D" w:rsidP="00550DE9">
      <w:pPr>
        <w:spacing w:after="0" w:line="240" w:lineRule="auto"/>
        <w:jc w:val="both"/>
        <w:rPr>
          <w:b/>
          <w:bCs/>
          <w:sz w:val="22"/>
          <w:szCs w:val="22"/>
          <w:lang w:val="fr-FR"/>
        </w:rPr>
      </w:pPr>
    </w:p>
    <w:p w14:paraId="6BC2205D" w14:textId="6043ABB0" w:rsidR="00173D3D" w:rsidRPr="00173D3D" w:rsidRDefault="00173D3D" w:rsidP="00550DE9">
      <w:pPr>
        <w:spacing w:after="0" w:line="240" w:lineRule="auto"/>
        <w:jc w:val="both"/>
        <w:rPr>
          <w:sz w:val="22"/>
          <w:szCs w:val="22"/>
          <w:lang w:val="fr-FR"/>
        </w:rPr>
      </w:pPr>
      <w:r w:rsidRPr="00173D3D">
        <w:rPr>
          <w:sz w:val="22"/>
          <w:szCs w:val="22"/>
          <w:lang w:val="fr-FR"/>
        </w:rPr>
        <w:t>___________________________</w:t>
      </w:r>
    </w:p>
    <w:p w14:paraId="3E92C27F" w14:textId="77777777" w:rsidR="00173D3D" w:rsidRDefault="00173D3D" w:rsidP="00550DE9">
      <w:pPr>
        <w:spacing w:after="0" w:line="240" w:lineRule="auto"/>
        <w:jc w:val="both"/>
        <w:rPr>
          <w:b/>
          <w:bCs/>
          <w:sz w:val="22"/>
          <w:szCs w:val="22"/>
          <w:lang w:val="fr-FR"/>
        </w:rPr>
      </w:pPr>
    </w:p>
    <w:p w14:paraId="1AAA9A94" w14:textId="3EB392B5" w:rsidR="00173D3D" w:rsidRPr="00173D3D" w:rsidRDefault="00173D3D" w:rsidP="00173D3D">
      <w:pPr>
        <w:pStyle w:val="Paragraphedeliste"/>
        <w:ind w:left="0"/>
        <w:jc w:val="both"/>
        <w:rPr>
          <w:sz w:val="18"/>
          <w:szCs w:val="18"/>
          <w:lang w:val="fr-FR"/>
        </w:rPr>
      </w:pPr>
      <w:r>
        <w:rPr>
          <w:rStyle w:val="Appelnotedebasdep"/>
        </w:rPr>
        <w:footnoteRef/>
      </w:r>
      <w:r w:rsidRPr="00173D3D">
        <w:rPr>
          <w:sz w:val="18"/>
          <w:szCs w:val="18"/>
          <w:lang w:val="fr-FR"/>
        </w:rPr>
        <w:t xml:space="preserve"> </w:t>
      </w:r>
      <w:r w:rsidRPr="00173D3D">
        <w:rPr>
          <w:b/>
          <w:bCs/>
          <w:sz w:val="18"/>
          <w:szCs w:val="18"/>
          <w:lang w:val="fr-FR"/>
        </w:rPr>
        <w:t>L</w:t>
      </w:r>
      <w:r w:rsidR="003557AE">
        <w:rPr>
          <w:b/>
          <w:bCs/>
          <w:sz w:val="18"/>
          <w:szCs w:val="18"/>
          <w:lang w:val="fr-FR"/>
        </w:rPr>
        <w:t>es ventes brutes</w:t>
      </w:r>
      <w:r w:rsidRPr="00173D3D">
        <w:rPr>
          <w:sz w:val="18"/>
          <w:szCs w:val="18"/>
          <w:lang w:val="fr-FR"/>
        </w:rPr>
        <w:t xml:space="preserve"> </w:t>
      </w:r>
      <w:r w:rsidR="00FE5201" w:rsidRPr="00FE5201">
        <w:rPr>
          <w:sz w:val="18"/>
          <w:szCs w:val="18"/>
          <w:lang w:val="fr-FR"/>
        </w:rPr>
        <w:t xml:space="preserve">représentent le montant brut facturé aux clients pour les quantités de produits livrées au cours de l’exercice. Dans les pays où le prix, ou les conditions de remboursement, n’ont pas encore été arrêtés par l’administration, le chiffre d’affaires annuel correspond aux </w:t>
      </w:r>
      <w:r w:rsidR="00B07CDD">
        <w:rPr>
          <w:sz w:val="18"/>
          <w:szCs w:val="18"/>
          <w:lang w:val="fr-FR"/>
        </w:rPr>
        <w:t>ventes brutes</w:t>
      </w:r>
      <w:r w:rsidR="00FE5201" w:rsidRPr="00FE5201">
        <w:rPr>
          <w:sz w:val="18"/>
          <w:szCs w:val="18"/>
          <w:lang w:val="fr-FR"/>
        </w:rPr>
        <w:t xml:space="preserve"> diminuées des taxes et remises fixées par les autorités de tutelle. Ces taxes et remises sont constatées sur la base des meilleures estimations de la société ou des mises en recouvrement reçu</w:t>
      </w:r>
      <w:r w:rsidR="00BA1DA6">
        <w:rPr>
          <w:sz w:val="18"/>
          <w:szCs w:val="18"/>
          <w:lang w:val="fr-FR"/>
        </w:rPr>
        <w:t>e</w:t>
      </w:r>
      <w:r w:rsidR="00FE5201" w:rsidRPr="00FE5201">
        <w:rPr>
          <w:sz w:val="18"/>
          <w:szCs w:val="18"/>
          <w:lang w:val="fr-FR"/>
        </w:rPr>
        <w:t>s de l’administration</w:t>
      </w:r>
      <w:r w:rsidRPr="00173D3D">
        <w:rPr>
          <w:sz w:val="18"/>
          <w:szCs w:val="18"/>
          <w:lang w:val="fr-FR"/>
        </w:rPr>
        <w:t xml:space="preserve">. Elles représentent 1 315 milliers d'euros en 2022 et 544 milliers d'euros en 2021 pour </w:t>
      </w:r>
      <w:r w:rsidR="00B07CDD">
        <w:rPr>
          <w:sz w:val="18"/>
          <w:szCs w:val="18"/>
          <w:lang w:val="fr-FR"/>
        </w:rPr>
        <w:t>des ventes brutes</w:t>
      </w:r>
      <w:r w:rsidRPr="00173D3D">
        <w:rPr>
          <w:sz w:val="18"/>
          <w:szCs w:val="18"/>
          <w:lang w:val="fr-FR"/>
        </w:rPr>
        <w:t xml:space="preserve"> totale</w:t>
      </w:r>
      <w:r w:rsidR="00B07CDD">
        <w:rPr>
          <w:sz w:val="18"/>
          <w:szCs w:val="18"/>
          <w:lang w:val="fr-FR"/>
        </w:rPr>
        <w:t>s</w:t>
      </w:r>
      <w:r w:rsidRPr="00173D3D">
        <w:rPr>
          <w:sz w:val="18"/>
          <w:szCs w:val="18"/>
          <w:lang w:val="fr-FR"/>
        </w:rPr>
        <w:t xml:space="preserve"> de respectivement 3 715 milliers d'euros et 3 261 milliers d'euros et un revenu total de respectivement 2 </w:t>
      </w:r>
      <w:r w:rsidR="00E337D5">
        <w:rPr>
          <w:sz w:val="18"/>
          <w:szCs w:val="18"/>
          <w:lang w:val="fr-FR"/>
        </w:rPr>
        <w:t>341</w:t>
      </w:r>
      <w:r w:rsidRPr="00173D3D">
        <w:rPr>
          <w:sz w:val="18"/>
          <w:szCs w:val="18"/>
          <w:lang w:val="fr-FR"/>
        </w:rPr>
        <w:t xml:space="preserve"> milliers d'euros et 2 </w:t>
      </w:r>
      <w:r w:rsidR="00E337D5">
        <w:rPr>
          <w:sz w:val="18"/>
          <w:szCs w:val="18"/>
          <w:lang w:val="fr-FR"/>
        </w:rPr>
        <w:t>670</w:t>
      </w:r>
      <w:r w:rsidRPr="00173D3D">
        <w:rPr>
          <w:sz w:val="18"/>
          <w:szCs w:val="18"/>
          <w:lang w:val="fr-FR"/>
        </w:rPr>
        <w:t xml:space="preserve"> milliers d'euros.</w:t>
      </w:r>
    </w:p>
    <w:p w14:paraId="672EB3AF" w14:textId="77777777" w:rsidR="00173D3D" w:rsidRPr="00173D3D" w:rsidRDefault="00173D3D" w:rsidP="00550DE9">
      <w:pPr>
        <w:spacing w:after="0" w:line="240" w:lineRule="auto"/>
        <w:jc w:val="both"/>
        <w:rPr>
          <w:sz w:val="22"/>
          <w:szCs w:val="22"/>
          <w:lang w:val="fr-FR"/>
        </w:rPr>
      </w:pPr>
    </w:p>
    <w:p w14:paraId="758D5EB7" w14:textId="77777777" w:rsidR="00173D3D" w:rsidRPr="00173D3D" w:rsidRDefault="00173D3D" w:rsidP="00550DE9">
      <w:pPr>
        <w:autoSpaceDE w:val="0"/>
        <w:autoSpaceDN w:val="0"/>
        <w:adjustRightInd w:val="0"/>
        <w:spacing w:after="0" w:line="240" w:lineRule="auto"/>
        <w:jc w:val="both"/>
        <w:rPr>
          <w:b/>
          <w:bCs/>
          <w:sz w:val="22"/>
          <w:szCs w:val="22"/>
          <w:lang w:val="fr-FR"/>
        </w:rPr>
      </w:pPr>
    </w:p>
    <w:p w14:paraId="4174A116" w14:textId="77777777" w:rsidR="00173D3D" w:rsidRPr="00173D3D" w:rsidRDefault="00173D3D" w:rsidP="00550DE9">
      <w:pPr>
        <w:autoSpaceDE w:val="0"/>
        <w:autoSpaceDN w:val="0"/>
        <w:adjustRightInd w:val="0"/>
        <w:spacing w:after="0" w:line="240" w:lineRule="auto"/>
        <w:jc w:val="both"/>
        <w:rPr>
          <w:b/>
          <w:bCs/>
          <w:sz w:val="22"/>
          <w:szCs w:val="22"/>
          <w:lang w:val="fr-FR"/>
        </w:rPr>
      </w:pPr>
    </w:p>
    <w:p w14:paraId="764A9C47" w14:textId="77777777" w:rsidR="00173D3D" w:rsidRPr="00173D3D" w:rsidRDefault="00173D3D" w:rsidP="00550DE9">
      <w:pPr>
        <w:autoSpaceDE w:val="0"/>
        <w:autoSpaceDN w:val="0"/>
        <w:adjustRightInd w:val="0"/>
        <w:spacing w:after="0" w:line="240" w:lineRule="auto"/>
        <w:jc w:val="both"/>
        <w:rPr>
          <w:b/>
          <w:bCs/>
          <w:sz w:val="22"/>
          <w:szCs w:val="22"/>
          <w:lang w:val="fr-FR"/>
        </w:rPr>
      </w:pPr>
    </w:p>
    <w:p w14:paraId="0CC1A518" w14:textId="77777777" w:rsidR="00173D3D" w:rsidRDefault="00173D3D" w:rsidP="00550DE9">
      <w:pPr>
        <w:autoSpaceDE w:val="0"/>
        <w:autoSpaceDN w:val="0"/>
        <w:adjustRightInd w:val="0"/>
        <w:spacing w:after="0" w:line="240" w:lineRule="auto"/>
        <w:jc w:val="both"/>
        <w:rPr>
          <w:b/>
          <w:bCs/>
          <w:sz w:val="22"/>
          <w:szCs w:val="22"/>
          <w:lang w:val="fr-FR"/>
        </w:rPr>
      </w:pPr>
    </w:p>
    <w:p w14:paraId="0AB70DA2" w14:textId="51371758" w:rsidR="00173D3D" w:rsidRPr="00173D3D" w:rsidRDefault="00173D3D" w:rsidP="00550DE9">
      <w:pPr>
        <w:autoSpaceDE w:val="0"/>
        <w:autoSpaceDN w:val="0"/>
        <w:adjustRightInd w:val="0"/>
        <w:spacing w:after="0" w:line="240" w:lineRule="auto"/>
        <w:jc w:val="both"/>
        <w:rPr>
          <w:sz w:val="22"/>
          <w:szCs w:val="22"/>
          <w:lang w:val="fr-FR"/>
        </w:rPr>
      </w:pPr>
      <w:r w:rsidRPr="00173D3D">
        <w:rPr>
          <w:sz w:val="22"/>
          <w:szCs w:val="22"/>
          <w:lang w:val="fr-FR"/>
        </w:rPr>
        <w:t>La Société a enregistré des</w:t>
      </w:r>
      <w:r w:rsidRPr="00173D3D">
        <w:rPr>
          <w:b/>
          <w:bCs/>
          <w:sz w:val="22"/>
          <w:szCs w:val="22"/>
          <w:lang w:val="fr-FR"/>
        </w:rPr>
        <w:t xml:space="preserve"> pertes d'exploitation </w:t>
      </w:r>
      <w:r w:rsidRPr="00173D3D">
        <w:rPr>
          <w:sz w:val="22"/>
          <w:szCs w:val="22"/>
          <w:lang w:val="fr-FR"/>
        </w:rPr>
        <w:t xml:space="preserve">de 10,1 millions d'euros (contre 12,4 millions d'euros en 2021). Cette amélioration de près de 20% résulte d'une réduction significative des </w:t>
      </w:r>
      <w:r w:rsidRPr="00173D3D">
        <w:rPr>
          <w:b/>
          <w:bCs/>
          <w:sz w:val="22"/>
          <w:szCs w:val="22"/>
          <w:lang w:val="fr-FR"/>
        </w:rPr>
        <w:t>charges d'exploitation</w:t>
      </w:r>
      <w:r w:rsidRPr="00173D3D">
        <w:rPr>
          <w:sz w:val="22"/>
          <w:szCs w:val="22"/>
          <w:lang w:val="fr-FR"/>
        </w:rPr>
        <w:t xml:space="preserve">, diminuées de plus de 3 millions d'euros à 13,1 millions d'euros (16,2 millions d'euros en 2021), soulignant l'allocation des dépenses à des activités créatrices de valeur. Cette solide performance a été partiellement compensée par une </w:t>
      </w:r>
      <w:r w:rsidR="002A517C">
        <w:rPr>
          <w:sz w:val="22"/>
          <w:szCs w:val="22"/>
          <w:lang w:val="fr-FR"/>
        </w:rPr>
        <w:t>diminution</w:t>
      </w:r>
      <w:r w:rsidR="002A517C" w:rsidRPr="00173D3D">
        <w:rPr>
          <w:sz w:val="22"/>
          <w:szCs w:val="22"/>
          <w:lang w:val="fr-FR"/>
        </w:rPr>
        <w:t xml:space="preserve"> </w:t>
      </w:r>
      <w:r w:rsidRPr="00173D3D">
        <w:rPr>
          <w:sz w:val="22"/>
          <w:szCs w:val="22"/>
          <w:lang w:val="fr-FR"/>
        </w:rPr>
        <w:t>d</w:t>
      </w:r>
      <w:r w:rsidR="00D026B6">
        <w:rPr>
          <w:sz w:val="22"/>
          <w:szCs w:val="22"/>
          <w:lang w:val="fr-FR"/>
        </w:rPr>
        <w:t xml:space="preserve">u </w:t>
      </w:r>
      <w:r w:rsidR="00D026B6" w:rsidRPr="001F7EA1">
        <w:rPr>
          <w:b/>
          <w:bCs/>
          <w:sz w:val="22"/>
          <w:szCs w:val="22"/>
          <w:lang w:val="fr-FR"/>
        </w:rPr>
        <w:t>total d</w:t>
      </w:r>
      <w:r w:rsidRPr="001F7EA1">
        <w:rPr>
          <w:b/>
          <w:bCs/>
          <w:sz w:val="22"/>
          <w:szCs w:val="22"/>
          <w:lang w:val="fr-FR"/>
        </w:rPr>
        <w:t>es</w:t>
      </w:r>
      <w:r w:rsidRPr="00173D3D">
        <w:rPr>
          <w:sz w:val="22"/>
          <w:szCs w:val="22"/>
          <w:lang w:val="fr-FR"/>
        </w:rPr>
        <w:t xml:space="preserve"> </w:t>
      </w:r>
      <w:r w:rsidRPr="00173D3D">
        <w:rPr>
          <w:b/>
          <w:bCs/>
          <w:sz w:val="22"/>
          <w:szCs w:val="22"/>
          <w:lang w:val="fr-FR"/>
        </w:rPr>
        <w:t xml:space="preserve">revenus et autres </w:t>
      </w:r>
      <w:r w:rsidR="00D026B6">
        <w:rPr>
          <w:b/>
          <w:bCs/>
          <w:sz w:val="22"/>
          <w:szCs w:val="22"/>
          <w:lang w:val="fr-FR"/>
        </w:rPr>
        <w:t>produits</w:t>
      </w:r>
      <w:r w:rsidRPr="00173D3D">
        <w:rPr>
          <w:sz w:val="22"/>
          <w:szCs w:val="22"/>
          <w:lang w:val="fr-FR"/>
        </w:rPr>
        <w:t xml:space="preserve"> à 3,0 millions d'euros. </w:t>
      </w:r>
      <w:r w:rsidR="00CA5865">
        <w:rPr>
          <w:sz w:val="22"/>
          <w:szCs w:val="22"/>
          <w:lang w:val="fr-FR"/>
        </w:rPr>
        <w:t>C</w:t>
      </w:r>
      <w:r w:rsidRPr="00173D3D">
        <w:rPr>
          <w:sz w:val="22"/>
          <w:szCs w:val="22"/>
          <w:lang w:val="fr-FR"/>
        </w:rPr>
        <w:t xml:space="preserve">es revenus et </w:t>
      </w:r>
      <w:r w:rsidR="000342A1" w:rsidRPr="00173D3D">
        <w:rPr>
          <w:sz w:val="22"/>
          <w:szCs w:val="22"/>
          <w:lang w:val="fr-FR"/>
        </w:rPr>
        <w:t xml:space="preserve">autres </w:t>
      </w:r>
      <w:r w:rsidRPr="00173D3D">
        <w:rPr>
          <w:sz w:val="22"/>
          <w:szCs w:val="22"/>
          <w:lang w:val="fr-FR"/>
        </w:rPr>
        <w:t xml:space="preserve">produits ont </w:t>
      </w:r>
      <w:r w:rsidR="00CA5865">
        <w:rPr>
          <w:sz w:val="22"/>
          <w:szCs w:val="22"/>
          <w:lang w:val="fr-FR"/>
        </w:rPr>
        <w:t>reculé</w:t>
      </w:r>
      <w:r w:rsidRPr="00173D3D">
        <w:rPr>
          <w:sz w:val="22"/>
          <w:szCs w:val="22"/>
          <w:lang w:val="fr-FR"/>
        </w:rPr>
        <w:t xml:space="preserve"> de 0,9 million d'euros </w:t>
      </w:r>
      <w:r w:rsidR="00C403A3">
        <w:rPr>
          <w:sz w:val="22"/>
          <w:szCs w:val="22"/>
          <w:lang w:val="fr-FR"/>
        </w:rPr>
        <w:t>du fait</w:t>
      </w:r>
      <w:r w:rsidRPr="00173D3D">
        <w:rPr>
          <w:sz w:val="22"/>
          <w:szCs w:val="22"/>
          <w:lang w:val="fr-FR"/>
        </w:rPr>
        <w:t xml:space="preserve"> de l'augmentation des remises </w:t>
      </w:r>
      <w:r w:rsidR="00C403A3">
        <w:rPr>
          <w:sz w:val="22"/>
          <w:szCs w:val="22"/>
          <w:lang w:val="fr-FR"/>
        </w:rPr>
        <w:t>imposées</w:t>
      </w:r>
      <w:r w:rsidR="00C403A3" w:rsidRPr="00173D3D">
        <w:rPr>
          <w:sz w:val="22"/>
          <w:szCs w:val="22"/>
          <w:lang w:val="fr-FR"/>
        </w:rPr>
        <w:t xml:space="preserve"> </w:t>
      </w:r>
      <w:r w:rsidRPr="00173D3D">
        <w:rPr>
          <w:sz w:val="22"/>
          <w:szCs w:val="22"/>
          <w:lang w:val="fr-FR"/>
        </w:rPr>
        <w:t>par l</w:t>
      </w:r>
      <w:r>
        <w:rPr>
          <w:sz w:val="22"/>
          <w:szCs w:val="22"/>
          <w:lang w:val="fr-FR"/>
        </w:rPr>
        <w:t xml:space="preserve">es autorités </w:t>
      </w:r>
      <w:r w:rsidRPr="00173D3D">
        <w:rPr>
          <w:sz w:val="22"/>
          <w:szCs w:val="22"/>
          <w:lang w:val="fr-FR"/>
        </w:rPr>
        <w:t>de santé</w:t>
      </w:r>
      <w:r w:rsidR="00C403A3">
        <w:rPr>
          <w:sz w:val="22"/>
          <w:szCs w:val="22"/>
          <w:lang w:val="fr-FR"/>
        </w:rPr>
        <w:t xml:space="preserve"> en France</w:t>
      </w:r>
      <w:r w:rsidR="00D64413">
        <w:rPr>
          <w:sz w:val="22"/>
          <w:szCs w:val="22"/>
          <w:lang w:val="fr-FR"/>
        </w:rPr>
        <w:t>,</w:t>
      </w:r>
      <w:r w:rsidR="002B452C" w:rsidRPr="001F7EA1">
        <w:rPr>
          <w:rFonts w:cstheme="minorHAnsi"/>
          <w:sz w:val="22"/>
          <w:szCs w:val="22"/>
          <w:lang w:val="fr-FR"/>
        </w:rPr>
        <w:t xml:space="preserve"> </w:t>
      </w:r>
      <w:r w:rsidR="00D64413">
        <w:rPr>
          <w:rFonts w:cstheme="minorHAnsi"/>
          <w:sz w:val="22"/>
          <w:szCs w:val="22"/>
          <w:lang w:val="fr-FR"/>
        </w:rPr>
        <w:t>d’</w:t>
      </w:r>
      <w:r w:rsidR="002B452C">
        <w:rPr>
          <w:rFonts w:cstheme="minorHAnsi"/>
          <w:sz w:val="22"/>
          <w:szCs w:val="22"/>
          <w:lang w:val="fr-FR"/>
        </w:rPr>
        <w:t xml:space="preserve">un </w:t>
      </w:r>
      <w:r w:rsidR="00560995">
        <w:rPr>
          <w:rFonts w:cstheme="minorHAnsi"/>
          <w:sz w:val="22"/>
          <w:szCs w:val="22"/>
          <w:lang w:val="fr-FR"/>
        </w:rPr>
        <w:t>effet</w:t>
      </w:r>
      <w:r w:rsidR="00C71B61">
        <w:rPr>
          <w:rFonts w:cstheme="minorHAnsi"/>
          <w:sz w:val="22"/>
          <w:szCs w:val="22"/>
          <w:lang w:val="fr-FR"/>
        </w:rPr>
        <w:t xml:space="preserve"> non récurrent lié </w:t>
      </w:r>
      <w:r w:rsidR="006A5DFB">
        <w:rPr>
          <w:rFonts w:cstheme="minorHAnsi"/>
          <w:sz w:val="22"/>
          <w:szCs w:val="22"/>
          <w:lang w:val="fr-FR"/>
        </w:rPr>
        <w:t xml:space="preserve">à ces </w:t>
      </w:r>
      <w:r w:rsidR="001E6D55">
        <w:rPr>
          <w:rFonts w:cstheme="minorHAnsi"/>
          <w:sz w:val="22"/>
          <w:szCs w:val="22"/>
          <w:lang w:val="fr-FR"/>
        </w:rPr>
        <w:t>remises calculées sur les</w:t>
      </w:r>
      <w:r w:rsidR="00560995">
        <w:rPr>
          <w:rFonts w:cstheme="minorHAnsi"/>
          <w:sz w:val="22"/>
          <w:szCs w:val="22"/>
          <w:lang w:val="fr-FR"/>
        </w:rPr>
        <w:t xml:space="preserve"> </w:t>
      </w:r>
      <w:r w:rsidR="001E6D55">
        <w:rPr>
          <w:rFonts w:cstheme="minorHAnsi"/>
          <w:sz w:val="22"/>
          <w:szCs w:val="22"/>
          <w:lang w:val="fr-FR"/>
        </w:rPr>
        <w:t>ventes brutes 2021</w:t>
      </w:r>
      <w:r w:rsidRPr="00173D3D">
        <w:rPr>
          <w:sz w:val="22"/>
          <w:szCs w:val="22"/>
          <w:lang w:val="fr-FR"/>
        </w:rPr>
        <w:t xml:space="preserve">, et de la baisse du </w:t>
      </w:r>
      <w:r w:rsidRPr="00173D3D">
        <w:rPr>
          <w:b/>
          <w:bCs/>
          <w:sz w:val="22"/>
          <w:szCs w:val="22"/>
          <w:lang w:val="fr-FR"/>
        </w:rPr>
        <w:t>Crédit Impôt Recherche</w:t>
      </w:r>
      <w:r w:rsidRPr="00173D3D">
        <w:rPr>
          <w:sz w:val="22"/>
          <w:szCs w:val="22"/>
          <w:lang w:val="fr-FR"/>
        </w:rPr>
        <w:t xml:space="preserve"> </w:t>
      </w:r>
      <w:r>
        <w:rPr>
          <w:sz w:val="22"/>
          <w:szCs w:val="22"/>
          <w:lang w:val="fr-FR"/>
        </w:rPr>
        <w:t xml:space="preserve">(CIR) </w:t>
      </w:r>
      <w:r w:rsidRPr="00173D3D">
        <w:rPr>
          <w:sz w:val="22"/>
          <w:szCs w:val="22"/>
          <w:lang w:val="fr-FR"/>
        </w:rPr>
        <w:t>à 0,6 million d'euros (contre 1,1 million d'euros en 2021) expliquée par la fin du développement clinique d'ADV7103 en Europe. Le coût des ventes en 2022 est resté stable en pourcentage des ventes de produits par rapport à 2021.</w:t>
      </w:r>
    </w:p>
    <w:p w14:paraId="70E15BCF" w14:textId="77777777" w:rsidR="00173D3D" w:rsidRPr="00173D3D" w:rsidRDefault="00173D3D" w:rsidP="00550DE9">
      <w:pPr>
        <w:autoSpaceDE w:val="0"/>
        <w:autoSpaceDN w:val="0"/>
        <w:adjustRightInd w:val="0"/>
        <w:spacing w:after="0" w:line="240" w:lineRule="auto"/>
        <w:jc w:val="both"/>
        <w:rPr>
          <w:b/>
          <w:bCs/>
          <w:sz w:val="22"/>
          <w:szCs w:val="22"/>
          <w:lang w:val="fr-FR"/>
        </w:rPr>
      </w:pPr>
    </w:p>
    <w:p w14:paraId="65DE28DB" w14:textId="47419C84" w:rsidR="00173D3D" w:rsidRDefault="00173D3D" w:rsidP="00550DE9">
      <w:pPr>
        <w:autoSpaceDE w:val="0"/>
        <w:autoSpaceDN w:val="0"/>
        <w:adjustRightInd w:val="0"/>
        <w:spacing w:after="0" w:line="240" w:lineRule="auto"/>
        <w:jc w:val="both"/>
        <w:rPr>
          <w:sz w:val="22"/>
          <w:szCs w:val="22"/>
          <w:lang w:val="fr-FR"/>
        </w:rPr>
      </w:pPr>
      <w:r w:rsidRPr="00173D3D">
        <w:rPr>
          <w:b/>
          <w:bCs/>
          <w:sz w:val="22"/>
          <w:szCs w:val="22"/>
          <w:lang w:val="fr-FR"/>
        </w:rPr>
        <w:t xml:space="preserve">Les dépenses d'exploitation </w:t>
      </w:r>
      <w:r w:rsidRPr="00173D3D">
        <w:rPr>
          <w:sz w:val="22"/>
          <w:szCs w:val="22"/>
          <w:lang w:val="fr-FR"/>
        </w:rPr>
        <w:t xml:space="preserve">ont été principalement consacrées à la R&amp;D, dont les dépenses ont atteint 7,1 millions d'euros, et se sont concentrées sur le développement clinique aux Etats-Unis et l'amélioration des processus de fabrication. Les dépenses de marketing et de vente ont continué à être réduites car les besoins en efforts promotionnels sont </w:t>
      </w:r>
      <w:r>
        <w:rPr>
          <w:sz w:val="22"/>
          <w:szCs w:val="22"/>
          <w:lang w:val="fr-FR"/>
        </w:rPr>
        <w:t>restés</w:t>
      </w:r>
      <w:r w:rsidRPr="00173D3D">
        <w:rPr>
          <w:sz w:val="22"/>
          <w:szCs w:val="22"/>
          <w:lang w:val="fr-FR"/>
        </w:rPr>
        <w:t xml:space="preserve"> faibles et </w:t>
      </w:r>
      <w:r>
        <w:rPr>
          <w:sz w:val="22"/>
          <w:szCs w:val="22"/>
          <w:lang w:val="fr-FR"/>
        </w:rPr>
        <w:t xml:space="preserve">demeurent </w:t>
      </w:r>
      <w:r w:rsidRPr="00173D3D">
        <w:rPr>
          <w:sz w:val="22"/>
          <w:szCs w:val="22"/>
          <w:lang w:val="fr-FR"/>
        </w:rPr>
        <w:t xml:space="preserve">partiellement pris en charge par les partenaires commerciaux. Les frais généraux ont encore été réduits à 3,8 millions d'euros, contre 4,7 millions d'euros en 2021, et ont bénéficié de la </w:t>
      </w:r>
      <w:r w:rsidR="00FE5201">
        <w:rPr>
          <w:sz w:val="22"/>
          <w:szCs w:val="22"/>
          <w:lang w:val="fr-FR"/>
        </w:rPr>
        <w:t>réorganisation</w:t>
      </w:r>
      <w:r w:rsidRPr="00173D3D">
        <w:rPr>
          <w:sz w:val="22"/>
          <w:szCs w:val="22"/>
          <w:lang w:val="fr-FR"/>
        </w:rPr>
        <w:t xml:space="preserve"> de la </w:t>
      </w:r>
      <w:r>
        <w:rPr>
          <w:sz w:val="22"/>
          <w:szCs w:val="22"/>
          <w:lang w:val="fr-FR"/>
        </w:rPr>
        <w:t>S</w:t>
      </w:r>
      <w:r w:rsidRPr="00173D3D">
        <w:rPr>
          <w:sz w:val="22"/>
          <w:szCs w:val="22"/>
          <w:lang w:val="fr-FR"/>
        </w:rPr>
        <w:t>ociété</w:t>
      </w:r>
      <w:r w:rsidR="00FE5201">
        <w:rPr>
          <w:sz w:val="22"/>
          <w:szCs w:val="22"/>
          <w:lang w:val="fr-FR"/>
        </w:rPr>
        <w:t xml:space="preserve"> (réduction du nombre de sites d’activité et changement de siège social à Paris, renforcement de l’équipe de direction, radiation de la cotation à Bruxelles)</w:t>
      </w:r>
      <w:r w:rsidRPr="00173D3D">
        <w:rPr>
          <w:sz w:val="22"/>
          <w:szCs w:val="22"/>
          <w:lang w:val="fr-FR"/>
        </w:rPr>
        <w:t xml:space="preserve"> </w:t>
      </w:r>
      <w:r w:rsidR="00FE5201" w:rsidRPr="00173D3D">
        <w:rPr>
          <w:sz w:val="22"/>
          <w:szCs w:val="22"/>
          <w:lang w:val="fr-FR"/>
        </w:rPr>
        <w:t>qui aur</w:t>
      </w:r>
      <w:r w:rsidR="00FE5201">
        <w:rPr>
          <w:sz w:val="22"/>
          <w:szCs w:val="22"/>
          <w:lang w:val="fr-FR"/>
        </w:rPr>
        <w:t>a</w:t>
      </w:r>
      <w:r w:rsidR="00FE5201" w:rsidRPr="00173D3D">
        <w:rPr>
          <w:sz w:val="22"/>
          <w:szCs w:val="22"/>
          <w:lang w:val="fr-FR"/>
        </w:rPr>
        <w:t xml:space="preserve"> un impact durable sur la structure des coûts</w:t>
      </w:r>
      <w:r w:rsidR="00FE5201">
        <w:rPr>
          <w:sz w:val="22"/>
          <w:szCs w:val="22"/>
          <w:lang w:val="fr-FR"/>
        </w:rPr>
        <w:t xml:space="preserve">, et </w:t>
      </w:r>
      <w:r w:rsidRPr="00173D3D">
        <w:rPr>
          <w:sz w:val="22"/>
          <w:szCs w:val="22"/>
          <w:lang w:val="fr-FR"/>
        </w:rPr>
        <w:t>en partie compensée par quelques éléments exceptionnels.</w:t>
      </w:r>
    </w:p>
    <w:p w14:paraId="29D440F0" w14:textId="77777777" w:rsidR="00173D3D" w:rsidRDefault="00173D3D" w:rsidP="00550DE9">
      <w:pPr>
        <w:autoSpaceDE w:val="0"/>
        <w:autoSpaceDN w:val="0"/>
        <w:adjustRightInd w:val="0"/>
        <w:spacing w:after="0" w:line="240" w:lineRule="auto"/>
        <w:jc w:val="both"/>
        <w:rPr>
          <w:sz w:val="22"/>
          <w:szCs w:val="22"/>
          <w:lang w:val="fr-FR"/>
        </w:rPr>
      </w:pPr>
    </w:p>
    <w:p w14:paraId="0A183FB9" w14:textId="6835642F" w:rsidR="00173D3D" w:rsidRPr="00173D3D" w:rsidRDefault="00173D3D" w:rsidP="00173D3D">
      <w:pPr>
        <w:autoSpaceDE w:val="0"/>
        <w:autoSpaceDN w:val="0"/>
        <w:adjustRightInd w:val="0"/>
        <w:spacing w:after="0" w:line="240" w:lineRule="auto"/>
        <w:jc w:val="both"/>
        <w:rPr>
          <w:sz w:val="22"/>
          <w:szCs w:val="22"/>
          <w:lang w:val="fr-FR"/>
        </w:rPr>
      </w:pPr>
      <w:r w:rsidRPr="00173D3D">
        <w:rPr>
          <w:b/>
          <w:bCs/>
          <w:sz w:val="22"/>
          <w:szCs w:val="22"/>
          <w:lang w:val="fr-FR"/>
        </w:rPr>
        <w:t xml:space="preserve">Les pertes financières </w:t>
      </w:r>
      <w:r w:rsidRPr="00173D3D">
        <w:rPr>
          <w:sz w:val="22"/>
          <w:szCs w:val="22"/>
          <w:lang w:val="fr-FR"/>
        </w:rPr>
        <w:t>ont atteint</w:t>
      </w:r>
      <w:r>
        <w:rPr>
          <w:sz w:val="22"/>
          <w:szCs w:val="22"/>
          <w:lang w:val="fr-FR"/>
        </w:rPr>
        <w:t xml:space="preserve"> l’an dernier</w:t>
      </w:r>
      <w:r w:rsidRPr="00173D3D">
        <w:rPr>
          <w:sz w:val="22"/>
          <w:szCs w:val="22"/>
          <w:lang w:val="fr-FR"/>
        </w:rPr>
        <w:t xml:space="preserve"> 1,4 million d'euros, sous l'effet d'éléments sans effet </w:t>
      </w:r>
      <w:r w:rsidR="00BA1DA6">
        <w:rPr>
          <w:sz w:val="22"/>
          <w:szCs w:val="22"/>
          <w:lang w:val="fr-FR"/>
        </w:rPr>
        <w:t>sur la</w:t>
      </w:r>
      <w:r w:rsidR="00BA1DA6" w:rsidRPr="00173D3D">
        <w:rPr>
          <w:sz w:val="22"/>
          <w:szCs w:val="22"/>
          <w:lang w:val="fr-FR"/>
        </w:rPr>
        <w:t xml:space="preserve"> </w:t>
      </w:r>
      <w:r w:rsidRPr="00173D3D">
        <w:rPr>
          <w:sz w:val="22"/>
          <w:szCs w:val="22"/>
          <w:lang w:val="fr-FR"/>
        </w:rPr>
        <w:t xml:space="preserve">trésorerie. Les charges d'intérêt liées au prêt de la BEI et au </w:t>
      </w:r>
      <w:r>
        <w:rPr>
          <w:sz w:val="22"/>
          <w:szCs w:val="22"/>
          <w:lang w:val="fr-FR"/>
        </w:rPr>
        <w:t>P</w:t>
      </w:r>
      <w:r w:rsidRPr="00173D3D">
        <w:rPr>
          <w:sz w:val="22"/>
          <w:szCs w:val="22"/>
          <w:lang w:val="fr-FR"/>
        </w:rPr>
        <w:t xml:space="preserve">rêt </w:t>
      </w:r>
      <w:r>
        <w:rPr>
          <w:sz w:val="22"/>
          <w:szCs w:val="22"/>
          <w:lang w:val="fr-FR"/>
        </w:rPr>
        <w:t>G</w:t>
      </w:r>
      <w:r w:rsidRPr="00173D3D">
        <w:rPr>
          <w:sz w:val="22"/>
          <w:szCs w:val="22"/>
          <w:lang w:val="fr-FR"/>
        </w:rPr>
        <w:t>aranti par l'État français (</w:t>
      </w:r>
      <w:r>
        <w:rPr>
          <w:sz w:val="22"/>
          <w:szCs w:val="22"/>
          <w:lang w:val="fr-FR"/>
        </w:rPr>
        <w:t>PGE</w:t>
      </w:r>
      <w:r w:rsidRPr="00173D3D">
        <w:rPr>
          <w:sz w:val="22"/>
          <w:szCs w:val="22"/>
          <w:lang w:val="fr-FR"/>
        </w:rPr>
        <w:t>) se sont élevées à 0,7 million d'euros, en hausse de 9 % par rapport à 2021, et compren</w:t>
      </w:r>
      <w:r w:rsidR="00184FF4">
        <w:rPr>
          <w:sz w:val="22"/>
          <w:szCs w:val="22"/>
          <w:lang w:val="fr-FR"/>
        </w:rPr>
        <w:t>nent les intérêts générés par</w:t>
      </w:r>
      <w:r w:rsidRPr="00173D3D">
        <w:rPr>
          <w:sz w:val="22"/>
          <w:szCs w:val="22"/>
          <w:lang w:val="fr-FR"/>
        </w:rPr>
        <w:t xml:space="preserve"> le tirage de la deuxième tranche du prêt de la BEI en décembre 2022. En appli</w:t>
      </w:r>
      <w:r w:rsidR="00184FF4">
        <w:rPr>
          <w:sz w:val="22"/>
          <w:szCs w:val="22"/>
          <w:lang w:val="fr-FR"/>
        </w:rPr>
        <w:t>cation des</w:t>
      </w:r>
      <w:r w:rsidRPr="00173D3D">
        <w:rPr>
          <w:sz w:val="22"/>
          <w:szCs w:val="22"/>
          <w:lang w:val="fr-FR"/>
        </w:rPr>
        <w:t xml:space="preserve"> normes IFRS, l'évaluation révisée des redevances attachées à la dette de la BEI a généré une charge non cash de 0,6 million d'euros (contre un gain de 0,7 million d'euros en 2021).</w:t>
      </w:r>
    </w:p>
    <w:p w14:paraId="5F51518F" w14:textId="77777777" w:rsidR="00173D3D" w:rsidRPr="00173D3D" w:rsidRDefault="00173D3D" w:rsidP="00173D3D">
      <w:pPr>
        <w:autoSpaceDE w:val="0"/>
        <w:autoSpaceDN w:val="0"/>
        <w:adjustRightInd w:val="0"/>
        <w:spacing w:after="0" w:line="240" w:lineRule="auto"/>
        <w:jc w:val="both"/>
        <w:rPr>
          <w:sz w:val="22"/>
          <w:szCs w:val="22"/>
          <w:lang w:val="fr-FR"/>
        </w:rPr>
      </w:pPr>
    </w:p>
    <w:p w14:paraId="024222FD" w14:textId="4DB2B202" w:rsidR="00173D3D" w:rsidRDefault="00173D3D" w:rsidP="00173D3D">
      <w:pPr>
        <w:autoSpaceDE w:val="0"/>
        <w:autoSpaceDN w:val="0"/>
        <w:adjustRightInd w:val="0"/>
        <w:spacing w:after="0" w:line="240" w:lineRule="auto"/>
        <w:jc w:val="both"/>
        <w:rPr>
          <w:sz w:val="22"/>
          <w:szCs w:val="22"/>
          <w:lang w:val="fr-FR"/>
        </w:rPr>
      </w:pPr>
      <w:r w:rsidRPr="00173D3D">
        <w:rPr>
          <w:sz w:val="22"/>
          <w:szCs w:val="22"/>
          <w:lang w:val="fr-FR"/>
        </w:rPr>
        <w:t>La société n'a pas enregistré de charge d'impôt sur les sociétés au titre de l'exercice 2022.</w:t>
      </w:r>
    </w:p>
    <w:p w14:paraId="4849405F" w14:textId="77777777" w:rsidR="00173D3D" w:rsidRDefault="00173D3D" w:rsidP="00173D3D">
      <w:pPr>
        <w:autoSpaceDE w:val="0"/>
        <w:autoSpaceDN w:val="0"/>
        <w:adjustRightInd w:val="0"/>
        <w:spacing w:after="0" w:line="240" w:lineRule="auto"/>
        <w:jc w:val="both"/>
        <w:rPr>
          <w:sz w:val="22"/>
          <w:szCs w:val="22"/>
          <w:lang w:val="fr-FR"/>
        </w:rPr>
      </w:pPr>
    </w:p>
    <w:p w14:paraId="2D0B63ED" w14:textId="77777777" w:rsidR="00173D3D" w:rsidRPr="00173D3D" w:rsidRDefault="00173D3D" w:rsidP="00173D3D">
      <w:pPr>
        <w:autoSpaceDE w:val="0"/>
        <w:autoSpaceDN w:val="0"/>
        <w:adjustRightInd w:val="0"/>
        <w:spacing w:after="0" w:line="240" w:lineRule="auto"/>
        <w:jc w:val="both"/>
        <w:rPr>
          <w:sz w:val="22"/>
          <w:szCs w:val="22"/>
          <w:lang w:val="fr-FR"/>
        </w:rPr>
      </w:pPr>
      <w:r w:rsidRPr="00173D3D">
        <w:rPr>
          <w:sz w:val="22"/>
          <w:szCs w:val="22"/>
          <w:lang w:val="fr-FR"/>
        </w:rPr>
        <w:t xml:space="preserve">Au total, le </w:t>
      </w:r>
      <w:r w:rsidRPr="00173D3D">
        <w:rPr>
          <w:b/>
          <w:bCs/>
          <w:sz w:val="22"/>
          <w:szCs w:val="22"/>
          <w:lang w:val="fr-FR"/>
        </w:rPr>
        <w:t>résultat net</w:t>
      </w:r>
      <w:r w:rsidRPr="00173D3D">
        <w:rPr>
          <w:sz w:val="22"/>
          <w:szCs w:val="22"/>
          <w:lang w:val="fr-FR"/>
        </w:rPr>
        <w:t xml:space="preserve"> affiche une perte de 11,5 millions d'euros (contre 12,4 millions d'euros en 2021). Cette perte représente 1,16 € par action en 2022, contre 1,34 € par action en 2021.</w:t>
      </w:r>
    </w:p>
    <w:p w14:paraId="29055384" w14:textId="77777777" w:rsidR="00173D3D" w:rsidRPr="00173D3D" w:rsidRDefault="00173D3D" w:rsidP="00173D3D">
      <w:pPr>
        <w:autoSpaceDE w:val="0"/>
        <w:autoSpaceDN w:val="0"/>
        <w:adjustRightInd w:val="0"/>
        <w:spacing w:after="0" w:line="240" w:lineRule="auto"/>
        <w:jc w:val="both"/>
        <w:rPr>
          <w:sz w:val="22"/>
          <w:szCs w:val="22"/>
          <w:lang w:val="fr-FR"/>
        </w:rPr>
      </w:pPr>
    </w:p>
    <w:p w14:paraId="4C61AF51" w14:textId="02A85124" w:rsidR="00173D3D" w:rsidRPr="00173D3D" w:rsidRDefault="00173D3D" w:rsidP="00173D3D">
      <w:pPr>
        <w:autoSpaceDE w:val="0"/>
        <w:autoSpaceDN w:val="0"/>
        <w:adjustRightInd w:val="0"/>
        <w:spacing w:after="0" w:line="240" w:lineRule="auto"/>
        <w:jc w:val="both"/>
        <w:rPr>
          <w:sz w:val="22"/>
          <w:szCs w:val="22"/>
          <w:lang w:val="fr-FR"/>
        </w:rPr>
      </w:pPr>
      <w:r w:rsidRPr="00173D3D">
        <w:rPr>
          <w:sz w:val="22"/>
          <w:szCs w:val="22"/>
          <w:lang w:val="fr-FR"/>
        </w:rPr>
        <w:t>L</w:t>
      </w:r>
      <w:r w:rsidR="00184FF4">
        <w:rPr>
          <w:sz w:val="22"/>
          <w:szCs w:val="22"/>
          <w:lang w:val="fr-FR"/>
        </w:rPr>
        <w:t xml:space="preserve">a </w:t>
      </w:r>
      <w:r w:rsidR="00184FF4" w:rsidRPr="00184FF4">
        <w:rPr>
          <w:b/>
          <w:bCs/>
          <w:sz w:val="22"/>
          <w:szCs w:val="22"/>
          <w:lang w:val="fr-FR"/>
        </w:rPr>
        <w:t xml:space="preserve">consommation </w:t>
      </w:r>
      <w:r w:rsidRPr="00173D3D">
        <w:rPr>
          <w:b/>
          <w:bCs/>
          <w:sz w:val="22"/>
          <w:szCs w:val="22"/>
          <w:lang w:val="fr-FR"/>
        </w:rPr>
        <w:t>net</w:t>
      </w:r>
      <w:r w:rsidR="00184FF4">
        <w:rPr>
          <w:b/>
          <w:bCs/>
          <w:sz w:val="22"/>
          <w:szCs w:val="22"/>
          <w:lang w:val="fr-FR"/>
        </w:rPr>
        <w:t>te</w:t>
      </w:r>
      <w:r w:rsidRPr="00173D3D">
        <w:rPr>
          <w:b/>
          <w:bCs/>
          <w:sz w:val="22"/>
          <w:szCs w:val="22"/>
          <w:lang w:val="fr-FR"/>
        </w:rPr>
        <w:t xml:space="preserve"> de trésorerie liés aux activités opérationnelles </w:t>
      </w:r>
      <w:r w:rsidRPr="00173D3D">
        <w:rPr>
          <w:sz w:val="22"/>
          <w:szCs w:val="22"/>
          <w:lang w:val="fr-FR"/>
        </w:rPr>
        <w:t xml:space="preserve">s'élève à 9,1 millions d'euros en 2022, contre 12,5 millions d'euros en 2021. La marge brute d'autofinancement s'améliore significativement à 9,4 millions d'euros (contre 11,8 millions d'euros en 2021) grâce à la croissance des </w:t>
      </w:r>
      <w:r w:rsidR="00184FF4">
        <w:rPr>
          <w:sz w:val="22"/>
          <w:szCs w:val="22"/>
          <w:lang w:val="fr-FR"/>
        </w:rPr>
        <w:t>Facturations</w:t>
      </w:r>
      <w:r w:rsidRPr="00173D3D">
        <w:rPr>
          <w:sz w:val="22"/>
          <w:szCs w:val="22"/>
          <w:lang w:val="fr-FR"/>
        </w:rPr>
        <w:t xml:space="preserve"> produits et à la maîtrise des dépenses. </w:t>
      </w:r>
    </w:p>
    <w:p w14:paraId="5A8F9163" w14:textId="58E3A1AB" w:rsidR="00173D3D" w:rsidRPr="00173D3D" w:rsidRDefault="00173D3D" w:rsidP="00173D3D">
      <w:pPr>
        <w:autoSpaceDE w:val="0"/>
        <w:autoSpaceDN w:val="0"/>
        <w:adjustRightInd w:val="0"/>
        <w:spacing w:after="0" w:line="240" w:lineRule="auto"/>
        <w:jc w:val="both"/>
        <w:rPr>
          <w:sz w:val="22"/>
          <w:szCs w:val="22"/>
          <w:lang w:val="fr-FR"/>
        </w:rPr>
      </w:pPr>
      <w:r w:rsidRPr="00173D3D">
        <w:rPr>
          <w:sz w:val="22"/>
          <w:szCs w:val="22"/>
          <w:lang w:val="fr-FR"/>
        </w:rPr>
        <w:t>L</w:t>
      </w:r>
      <w:r w:rsidR="00184FF4">
        <w:rPr>
          <w:sz w:val="22"/>
          <w:szCs w:val="22"/>
          <w:lang w:val="fr-FR"/>
        </w:rPr>
        <w:t>a</w:t>
      </w:r>
      <w:r w:rsidRPr="00173D3D">
        <w:rPr>
          <w:sz w:val="22"/>
          <w:szCs w:val="22"/>
          <w:lang w:val="fr-FR"/>
        </w:rPr>
        <w:t xml:space="preserve"> </w:t>
      </w:r>
      <w:r w:rsidR="00184FF4" w:rsidRPr="00184FF4">
        <w:rPr>
          <w:b/>
          <w:bCs/>
          <w:sz w:val="22"/>
          <w:szCs w:val="22"/>
          <w:lang w:val="fr-FR"/>
        </w:rPr>
        <w:t xml:space="preserve">consommation </w:t>
      </w:r>
      <w:r w:rsidR="00184FF4" w:rsidRPr="00173D3D">
        <w:rPr>
          <w:b/>
          <w:bCs/>
          <w:sz w:val="22"/>
          <w:szCs w:val="22"/>
          <w:lang w:val="fr-FR"/>
        </w:rPr>
        <w:t>net</w:t>
      </w:r>
      <w:r w:rsidR="00184FF4">
        <w:rPr>
          <w:b/>
          <w:bCs/>
          <w:sz w:val="22"/>
          <w:szCs w:val="22"/>
          <w:lang w:val="fr-FR"/>
        </w:rPr>
        <w:t>te</w:t>
      </w:r>
      <w:r w:rsidR="00184FF4" w:rsidRPr="00173D3D">
        <w:rPr>
          <w:b/>
          <w:bCs/>
          <w:sz w:val="22"/>
          <w:szCs w:val="22"/>
          <w:lang w:val="fr-FR"/>
        </w:rPr>
        <w:t xml:space="preserve"> </w:t>
      </w:r>
      <w:r w:rsidR="00184FF4">
        <w:rPr>
          <w:b/>
          <w:bCs/>
          <w:sz w:val="22"/>
          <w:szCs w:val="22"/>
          <w:lang w:val="fr-FR"/>
        </w:rPr>
        <w:t xml:space="preserve">de trésorerie </w:t>
      </w:r>
      <w:r w:rsidRPr="00173D3D">
        <w:rPr>
          <w:b/>
          <w:bCs/>
          <w:sz w:val="22"/>
          <w:szCs w:val="22"/>
          <w:lang w:val="fr-FR"/>
        </w:rPr>
        <w:t>provenant des activités d'investissement</w:t>
      </w:r>
      <w:r w:rsidRPr="00173D3D">
        <w:rPr>
          <w:sz w:val="22"/>
          <w:szCs w:val="22"/>
          <w:lang w:val="fr-FR"/>
        </w:rPr>
        <w:t xml:space="preserve"> </w:t>
      </w:r>
      <w:r>
        <w:rPr>
          <w:sz w:val="22"/>
          <w:szCs w:val="22"/>
          <w:lang w:val="fr-FR"/>
        </w:rPr>
        <w:t>est</w:t>
      </w:r>
      <w:r w:rsidRPr="00173D3D">
        <w:rPr>
          <w:sz w:val="22"/>
          <w:szCs w:val="22"/>
          <w:lang w:val="fr-FR"/>
        </w:rPr>
        <w:t xml:space="preserve"> proche de zéro, les dépenses d'investissement ayant été presque totalement compensées par l'impact positif du regroupement de toutes les activités </w:t>
      </w:r>
      <w:r>
        <w:rPr>
          <w:sz w:val="22"/>
          <w:szCs w:val="22"/>
          <w:lang w:val="fr-FR"/>
        </w:rPr>
        <w:t>sur un seul site à Paris</w:t>
      </w:r>
      <w:r w:rsidRPr="00173D3D">
        <w:rPr>
          <w:sz w:val="22"/>
          <w:szCs w:val="22"/>
          <w:lang w:val="fr-FR"/>
        </w:rPr>
        <w:t>.</w:t>
      </w:r>
    </w:p>
    <w:p w14:paraId="50C9706F" w14:textId="77777777" w:rsidR="00173D3D" w:rsidRPr="00173D3D" w:rsidRDefault="00173D3D" w:rsidP="00173D3D">
      <w:pPr>
        <w:autoSpaceDE w:val="0"/>
        <w:autoSpaceDN w:val="0"/>
        <w:adjustRightInd w:val="0"/>
        <w:spacing w:after="0" w:line="240" w:lineRule="auto"/>
        <w:jc w:val="both"/>
        <w:rPr>
          <w:sz w:val="22"/>
          <w:szCs w:val="22"/>
          <w:lang w:val="fr-FR"/>
        </w:rPr>
      </w:pPr>
      <w:r w:rsidRPr="00173D3D">
        <w:rPr>
          <w:sz w:val="22"/>
          <w:szCs w:val="22"/>
          <w:lang w:val="fr-FR"/>
        </w:rPr>
        <w:t xml:space="preserve">Le </w:t>
      </w:r>
      <w:r w:rsidRPr="00173D3D">
        <w:rPr>
          <w:b/>
          <w:bCs/>
          <w:sz w:val="22"/>
          <w:szCs w:val="22"/>
          <w:lang w:val="fr-FR"/>
        </w:rPr>
        <w:t>flux de trésorerie net provenant des activités de financement</w:t>
      </w:r>
      <w:r w:rsidRPr="00173D3D">
        <w:rPr>
          <w:sz w:val="22"/>
          <w:szCs w:val="22"/>
          <w:lang w:val="fr-FR"/>
        </w:rPr>
        <w:t xml:space="preserve"> s'élève à 4,8 millions d'euros en 2022 grâce au tirage de la deuxième tranche du prêt de la BEI.</w:t>
      </w:r>
    </w:p>
    <w:p w14:paraId="5AEB3AA0" w14:textId="77777777" w:rsidR="00173D3D" w:rsidRPr="00173D3D" w:rsidRDefault="00173D3D" w:rsidP="00173D3D">
      <w:pPr>
        <w:autoSpaceDE w:val="0"/>
        <w:autoSpaceDN w:val="0"/>
        <w:adjustRightInd w:val="0"/>
        <w:spacing w:after="0" w:line="240" w:lineRule="auto"/>
        <w:jc w:val="both"/>
        <w:rPr>
          <w:sz w:val="22"/>
          <w:szCs w:val="22"/>
          <w:lang w:val="fr-FR"/>
        </w:rPr>
      </w:pPr>
    </w:p>
    <w:p w14:paraId="0D34DFF9" w14:textId="77777777" w:rsidR="00173D3D" w:rsidRPr="00173D3D" w:rsidRDefault="00173D3D" w:rsidP="00173D3D">
      <w:pPr>
        <w:autoSpaceDE w:val="0"/>
        <w:autoSpaceDN w:val="0"/>
        <w:adjustRightInd w:val="0"/>
        <w:spacing w:after="0" w:line="240" w:lineRule="auto"/>
        <w:jc w:val="both"/>
        <w:rPr>
          <w:sz w:val="22"/>
          <w:szCs w:val="22"/>
          <w:lang w:val="fr-FR"/>
        </w:rPr>
      </w:pPr>
      <w:r w:rsidRPr="00173D3D">
        <w:rPr>
          <w:sz w:val="22"/>
          <w:szCs w:val="22"/>
          <w:lang w:val="fr-FR"/>
        </w:rPr>
        <w:t xml:space="preserve">Enfin, Advicenne clôture l'année 2022 avec une </w:t>
      </w:r>
      <w:r w:rsidRPr="00173D3D">
        <w:rPr>
          <w:b/>
          <w:bCs/>
          <w:sz w:val="22"/>
          <w:szCs w:val="22"/>
          <w:lang w:val="fr-FR"/>
        </w:rPr>
        <w:t xml:space="preserve">trésorerie nette </w:t>
      </w:r>
      <w:r w:rsidRPr="00173D3D">
        <w:rPr>
          <w:sz w:val="22"/>
          <w:szCs w:val="22"/>
          <w:lang w:val="fr-FR"/>
        </w:rPr>
        <w:t>de 8,3 millions d'euros.</w:t>
      </w:r>
    </w:p>
    <w:p w14:paraId="408110C0" w14:textId="77777777" w:rsidR="00173D3D" w:rsidRPr="00173D3D" w:rsidRDefault="00173D3D" w:rsidP="00173D3D">
      <w:pPr>
        <w:autoSpaceDE w:val="0"/>
        <w:autoSpaceDN w:val="0"/>
        <w:adjustRightInd w:val="0"/>
        <w:spacing w:after="0" w:line="240" w:lineRule="auto"/>
        <w:jc w:val="both"/>
        <w:rPr>
          <w:sz w:val="22"/>
          <w:szCs w:val="22"/>
          <w:lang w:val="fr-FR"/>
        </w:rPr>
      </w:pPr>
    </w:p>
    <w:p w14:paraId="111D93AB" w14:textId="253F34AB" w:rsidR="00173D3D" w:rsidRPr="00173D3D" w:rsidRDefault="00173D3D" w:rsidP="00173D3D">
      <w:pPr>
        <w:autoSpaceDE w:val="0"/>
        <w:autoSpaceDN w:val="0"/>
        <w:adjustRightInd w:val="0"/>
        <w:spacing w:after="0" w:line="240" w:lineRule="auto"/>
        <w:jc w:val="both"/>
        <w:rPr>
          <w:sz w:val="22"/>
          <w:szCs w:val="22"/>
          <w:lang w:val="fr-FR"/>
        </w:rPr>
      </w:pPr>
      <w:r w:rsidRPr="00173D3D">
        <w:rPr>
          <w:sz w:val="22"/>
          <w:szCs w:val="22"/>
          <w:lang w:val="fr-FR"/>
        </w:rPr>
        <w:t xml:space="preserve">En 2022, la </w:t>
      </w:r>
      <w:r>
        <w:rPr>
          <w:sz w:val="22"/>
          <w:szCs w:val="22"/>
          <w:lang w:val="fr-FR"/>
        </w:rPr>
        <w:t>S</w:t>
      </w:r>
      <w:r w:rsidRPr="00173D3D">
        <w:rPr>
          <w:sz w:val="22"/>
          <w:szCs w:val="22"/>
          <w:lang w:val="fr-FR"/>
        </w:rPr>
        <w:t xml:space="preserve">ociété a été profondément </w:t>
      </w:r>
      <w:r w:rsidR="00184FF4">
        <w:rPr>
          <w:sz w:val="22"/>
          <w:szCs w:val="22"/>
          <w:lang w:val="fr-FR"/>
        </w:rPr>
        <w:t>réorganisée</w:t>
      </w:r>
      <w:r w:rsidRPr="00173D3D">
        <w:rPr>
          <w:sz w:val="22"/>
          <w:szCs w:val="22"/>
          <w:lang w:val="fr-FR"/>
        </w:rPr>
        <w:t xml:space="preserve"> dans le but de réduire s</w:t>
      </w:r>
      <w:r>
        <w:rPr>
          <w:sz w:val="22"/>
          <w:szCs w:val="22"/>
          <w:lang w:val="fr-FR"/>
        </w:rPr>
        <w:t xml:space="preserve">a consommation de </w:t>
      </w:r>
      <w:r w:rsidR="00184FF4">
        <w:rPr>
          <w:sz w:val="22"/>
          <w:szCs w:val="22"/>
          <w:lang w:val="fr-FR"/>
        </w:rPr>
        <w:t>trésorerie</w:t>
      </w:r>
      <w:r w:rsidRPr="00173D3D">
        <w:rPr>
          <w:sz w:val="22"/>
          <w:szCs w:val="22"/>
          <w:lang w:val="fr-FR"/>
        </w:rPr>
        <w:t xml:space="preserve"> opérationnel</w:t>
      </w:r>
      <w:r>
        <w:rPr>
          <w:sz w:val="22"/>
          <w:szCs w:val="22"/>
          <w:lang w:val="fr-FR"/>
        </w:rPr>
        <w:t>le</w:t>
      </w:r>
      <w:r w:rsidRPr="00173D3D">
        <w:rPr>
          <w:sz w:val="22"/>
          <w:szCs w:val="22"/>
          <w:lang w:val="fr-FR"/>
        </w:rPr>
        <w:t>. Compte tenu de la croissance attendue du chiffre d'affaires en 2023 et de l'impact en année pleine des mesures de maîtrise des coûts, l</w:t>
      </w:r>
      <w:r>
        <w:rPr>
          <w:sz w:val="22"/>
          <w:szCs w:val="22"/>
          <w:lang w:val="fr-FR"/>
        </w:rPr>
        <w:t xml:space="preserve">’horizon de financement de la Société </w:t>
      </w:r>
      <w:r w:rsidRPr="00173D3D">
        <w:rPr>
          <w:sz w:val="22"/>
          <w:szCs w:val="22"/>
          <w:lang w:val="fr-FR"/>
        </w:rPr>
        <w:t xml:space="preserve">a été prolongée jusqu'au premier trimestre 2024. La </w:t>
      </w:r>
      <w:r>
        <w:rPr>
          <w:sz w:val="22"/>
          <w:szCs w:val="22"/>
          <w:lang w:val="fr-FR"/>
        </w:rPr>
        <w:t>S</w:t>
      </w:r>
      <w:r w:rsidRPr="00173D3D">
        <w:rPr>
          <w:sz w:val="22"/>
          <w:szCs w:val="22"/>
          <w:lang w:val="fr-FR"/>
        </w:rPr>
        <w:t xml:space="preserve">ociété poursuit ses efforts pour s'associer </w:t>
      </w:r>
      <w:r>
        <w:rPr>
          <w:sz w:val="22"/>
          <w:szCs w:val="22"/>
          <w:lang w:val="fr-FR"/>
        </w:rPr>
        <w:t xml:space="preserve">à un partenaire dans le </w:t>
      </w:r>
      <w:r w:rsidRPr="00173D3D">
        <w:rPr>
          <w:sz w:val="22"/>
          <w:szCs w:val="22"/>
          <w:lang w:val="fr-FR"/>
        </w:rPr>
        <w:t xml:space="preserve">développement d'ADV7103 aux États-Unis et dans le monde entier </w:t>
      </w:r>
      <w:r>
        <w:rPr>
          <w:sz w:val="22"/>
          <w:szCs w:val="22"/>
          <w:lang w:val="fr-FR"/>
        </w:rPr>
        <w:t xml:space="preserve">avec comme objectif l’optimisation de </w:t>
      </w:r>
      <w:r w:rsidRPr="00173D3D">
        <w:rPr>
          <w:sz w:val="22"/>
          <w:szCs w:val="22"/>
          <w:lang w:val="fr-FR"/>
        </w:rPr>
        <w:t>son modèle de création de valeur.</w:t>
      </w:r>
    </w:p>
    <w:p w14:paraId="1DBF0B8B" w14:textId="77777777" w:rsidR="00173D3D" w:rsidRPr="00173D3D" w:rsidRDefault="00173D3D" w:rsidP="00550DE9">
      <w:pPr>
        <w:autoSpaceDE w:val="0"/>
        <w:autoSpaceDN w:val="0"/>
        <w:adjustRightInd w:val="0"/>
        <w:spacing w:after="0" w:line="240" w:lineRule="auto"/>
        <w:jc w:val="both"/>
        <w:rPr>
          <w:b/>
          <w:bCs/>
          <w:sz w:val="22"/>
          <w:szCs w:val="22"/>
          <w:lang w:val="fr-FR"/>
        </w:rPr>
      </w:pPr>
    </w:p>
    <w:p w14:paraId="0BAAB55F" w14:textId="77777777" w:rsidR="00550DE9" w:rsidRDefault="00550DE9">
      <w:pPr>
        <w:spacing w:after="0" w:line="240" w:lineRule="auto"/>
        <w:rPr>
          <w:b/>
          <w:bCs/>
          <w:sz w:val="22"/>
          <w:szCs w:val="22"/>
          <w:lang w:val="fr-FR"/>
        </w:rPr>
      </w:pPr>
    </w:p>
    <w:p w14:paraId="0F93E9BD" w14:textId="77777777" w:rsidR="00173D3D" w:rsidRDefault="00173D3D">
      <w:pPr>
        <w:spacing w:after="0" w:line="240" w:lineRule="auto"/>
        <w:rPr>
          <w:b/>
          <w:bCs/>
          <w:sz w:val="22"/>
          <w:szCs w:val="22"/>
          <w:lang w:val="fr-FR"/>
        </w:rPr>
      </w:pPr>
    </w:p>
    <w:p w14:paraId="53F31BAC" w14:textId="77777777" w:rsidR="00173D3D" w:rsidRDefault="00173D3D">
      <w:pPr>
        <w:spacing w:after="0" w:line="240" w:lineRule="auto"/>
        <w:rPr>
          <w:b/>
          <w:bCs/>
          <w:sz w:val="22"/>
          <w:szCs w:val="22"/>
          <w:lang w:val="fr-FR"/>
        </w:rPr>
      </w:pPr>
    </w:p>
    <w:p w14:paraId="3ECD2805" w14:textId="77777777" w:rsidR="00173D3D" w:rsidRDefault="00173D3D">
      <w:pPr>
        <w:spacing w:after="0" w:line="240" w:lineRule="auto"/>
        <w:rPr>
          <w:b/>
          <w:bCs/>
          <w:sz w:val="22"/>
          <w:szCs w:val="22"/>
          <w:lang w:val="fr-FR"/>
        </w:rPr>
      </w:pPr>
    </w:p>
    <w:p w14:paraId="4BE75B27" w14:textId="2AECA26E" w:rsidR="00311D8B" w:rsidRDefault="00550DE9" w:rsidP="00550DE9">
      <w:pPr>
        <w:pStyle w:val="Paragraphedeliste"/>
        <w:numPr>
          <w:ilvl w:val="0"/>
          <w:numId w:val="5"/>
        </w:numPr>
        <w:spacing w:after="0" w:line="240" w:lineRule="auto"/>
        <w:jc w:val="both"/>
        <w:rPr>
          <w:b/>
          <w:bCs/>
          <w:sz w:val="22"/>
          <w:szCs w:val="22"/>
          <w:lang w:val="fr-FR"/>
        </w:rPr>
      </w:pPr>
      <w:r>
        <w:rPr>
          <w:b/>
          <w:bCs/>
          <w:sz w:val="22"/>
          <w:szCs w:val="22"/>
          <w:lang w:val="fr-FR"/>
        </w:rPr>
        <w:t xml:space="preserve">Faits marquants </w:t>
      </w:r>
      <w:r w:rsidR="00D80AD1" w:rsidRPr="00550DE9">
        <w:rPr>
          <w:b/>
          <w:bCs/>
          <w:sz w:val="22"/>
          <w:szCs w:val="22"/>
          <w:lang w:val="fr-FR"/>
        </w:rPr>
        <w:t>202</w:t>
      </w:r>
      <w:r w:rsidR="00173D3D">
        <w:rPr>
          <w:b/>
          <w:bCs/>
          <w:sz w:val="22"/>
          <w:szCs w:val="22"/>
          <w:lang w:val="fr-FR"/>
        </w:rPr>
        <w:t>2</w:t>
      </w:r>
    </w:p>
    <w:p w14:paraId="287ED895" w14:textId="77777777" w:rsidR="00173D3D" w:rsidRDefault="00173D3D" w:rsidP="00173D3D">
      <w:pPr>
        <w:spacing w:after="0" w:line="240" w:lineRule="auto"/>
        <w:jc w:val="both"/>
        <w:rPr>
          <w:b/>
          <w:bCs/>
          <w:sz w:val="22"/>
          <w:szCs w:val="22"/>
          <w:lang w:val="fr-FR"/>
        </w:rPr>
      </w:pPr>
    </w:p>
    <w:p w14:paraId="0BE012CB" w14:textId="08438FBE" w:rsidR="00173D3D" w:rsidRDefault="00173D3D" w:rsidP="00173D3D">
      <w:pPr>
        <w:spacing w:after="0" w:line="240" w:lineRule="auto"/>
        <w:jc w:val="both"/>
        <w:rPr>
          <w:rFonts w:cstheme="minorHAnsi"/>
          <w:color w:val="000000" w:themeColor="text1"/>
          <w:sz w:val="22"/>
          <w:szCs w:val="22"/>
          <w:lang w:val="fr-FR"/>
        </w:rPr>
      </w:pPr>
      <w:r w:rsidRPr="00173D3D">
        <w:rPr>
          <w:b/>
          <w:bCs/>
          <w:sz w:val="22"/>
          <w:szCs w:val="22"/>
          <w:lang w:val="fr-FR"/>
        </w:rPr>
        <w:t xml:space="preserve">Premiers lancements commerciaux et déploiement d'alliances stratégiques. </w:t>
      </w:r>
      <w:r w:rsidRPr="00173D3D">
        <w:rPr>
          <w:sz w:val="22"/>
          <w:szCs w:val="22"/>
          <w:lang w:val="fr-FR"/>
        </w:rPr>
        <w:t xml:space="preserve">En 2022, Advicenne a signé plusieurs partenariats de distribution exclusifs couvrant le Benelux, les pays d'Europe centrale et orientale, et les pays nordiques, complétant ainsi sa présence </w:t>
      </w:r>
      <w:r w:rsidR="00184FF4">
        <w:rPr>
          <w:sz w:val="22"/>
          <w:szCs w:val="22"/>
          <w:lang w:val="fr-FR"/>
        </w:rPr>
        <w:t xml:space="preserve">directe </w:t>
      </w:r>
      <w:r w:rsidRPr="00173D3D">
        <w:rPr>
          <w:sz w:val="22"/>
          <w:szCs w:val="22"/>
          <w:lang w:val="fr-FR"/>
        </w:rPr>
        <w:t>en France et au Royaume-Uni. Depuis, comme prévu, la Société a complété sa couverture commerciale européenne début 2023. La Société a également signé un accord de distribution exclusif couvrant la région MENA</w:t>
      </w:r>
      <w:r>
        <w:rPr>
          <w:sz w:val="22"/>
          <w:szCs w:val="22"/>
          <w:lang w:val="fr-FR"/>
        </w:rPr>
        <w:t xml:space="preserve"> (Afrique du Nord et Moyen-Orient)</w:t>
      </w:r>
      <w:r w:rsidRPr="00173D3D">
        <w:rPr>
          <w:sz w:val="22"/>
          <w:szCs w:val="22"/>
          <w:lang w:val="fr-FR"/>
        </w:rPr>
        <w:t>. Ce réseau commercial étendu a déjà remporté des succès avec les lancements commerciaux de Sibnayal® au Royaume-Uni et dans certains pays nordiques, ou la mise en œuvre d</w:t>
      </w:r>
      <w:r>
        <w:rPr>
          <w:sz w:val="22"/>
          <w:szCs w:val="22"/>
          <w:lang w:val="fr-FR"/>
        </w:rPr>
        <w:t>e</w:t>
      </w:r>
      <w:r w:rsidRPr="00173D3D">
        <w:rPr>
          <w:sz w:val="22"/>
          <w:szCs w:val="22"/>
          <w:lang w:val="fr-FR"/>
        </w:rPr>
        <w:t xml:space="preserve"> programme</w:t>
      </w:r>
      <w:r>
        <w:rPr>
          <w:sz w:val="22"/>
          <w:szCs w:val="22"/>
          <w:lang w:val="fr-FR"/>
        </w:rPr>
        <w:t>s</w:t>
      </w:r>
      <w:r w:rsidRPr="00173D3D">
        <w:rPr>
          <w:sz w:val="22"/>
          <w:szCs w:val="22"/>
          <w:lang w:val="fr-FR"/>
        </w:rPr>
        <w:t xml:space="preserve"> d'accès </w:t>
      </w:r>
      <w:r>
        <w:rPr>
          <w:sz w:val="22"/>
          <w:szCs w:val="22"/>
          <w:lang w:val="fr-FR"/>
        </w:rPr>
        <w:t>précoces</w:t>
      </w:r>
      <w:r w:rsidRPr="00173D3D">
        <w:rPr>
          <w:sz w:val="22"/>
          <w:szCs w:val="22"/>
          <w:lang w:val="fr-FR"/>
        </w:rPr>
        <w:t xml:space="preserve"> </w:t>
      </w:r>
      <w:r w:rsidR="00184FF4">
        <w:rPr>
          <w:sz w:val="22"/>
          <w:szCs w:val="22"/>
          <w:lang w:val="fr-FR"/>
        </w:rPr>
        <w:t>en</w:t>
      </w:r>
      <w:r>
        <w:rPr>
          <w:sz w:val="22"/>
          <w:szCs w:val="22"/>
          <w:lang w:val="fr-FR"/>
        </w:rPr>
        <w:t xml:space="preserve"> Europe centrale et orientale</w:t>
      </w:r>
      <w:r w:rsidRPr="00173D3D">
        <w:rPr>
          <w:sz w:val="22"/>
          <w:szCs w:val="22"/>
          <w:lang w:val="fr-FR"/>
        </w:rPr>
        <w:t xml:space="preserve">. En France, Advicenne </w:t>
      </w:r>
      <w:r w:rsidR="00D14A6D">
        <w:rPr>
          <w:sz w:val="22"/>
          <w:szCs w:val="22"/>
          <w:lang w:val="fr-FR"/>
        </w:rPr>
        <w:t>a démarré</w:t>
      </w:r>
      <w:r w:rsidRPr="00173D3D">
        <w:rPr>
          <w:sz w:val="22"/>
          <w:szCs w:val="22"/>
          <w:lang w:val="fr-FR"/>
        </w:rPr>
        <w:t xml:space="preserve"> ses opérations commerciales pour être pleinement opérationnel en 2023. Pour soutenir la croissance attendue de ses ventes, Advicenne a travaillé, avec son </w:t>
      </w:r>
      <w:r w:rsidR="00184FF4">
        <w:rPr>
          <w:rFonts w:cstheme="minorHAnsi"/>
          <w:color w:val="000000" w:themeColor="text1"/>
          <w:sz w:val="22"/>
          <w:szCs w:val="22"/>
          <w:lang w:val="fr-FR"/>
        </w:rPr>
        <w:t>sous-traitant de production</w:t>
      </w:r>
      <w:r w:rsidRPr="00173D3D">
        <w:rPr>
          <w:rFonts w:cstheme="minorHAnsi"/>
          <w:color w:val="000000" w:themeColor="text1"/>
          <w:sz w:val="22"/>
          <w:szCs w:val="22"/>
          <w:lang w:val="fr-FR"/>
        </w:rPr>
        <w:t>, à l'amélioration de son processus de fabrication, ce qui devrait conduire à moyen terme à une réduction significative de ses coûts de fabrication.</w:t>
      </w:r>
    </w:p>
    <w:p w14:paraId="0927EA6F" w14:textId="77777777" w:rsidR="00173D3D" w:rsidRDefault="00173D3D" w:rsidP="00173D3D">
      <w:pPr>
        <w:spacing w:after="0" w:line="240" w:lineRule="auto"/>
        <w:jc w:val="both"/>
        <w:rPr>
          <w:rFonts w:cstheme="minorHAnsi"/>
          <w:color w:val="000000" w:themeColor="text1"/>
          <w:sz w:val="22"/>
          <w:szCs w:val="22"/>
          <w:lang w:val="fr-FR"/>
        </w:rPr>
      </w:pPr>
    </w:p>
    <w:p w14:paraId="0F954D9C" w14:textId="4110F91A" w:rsidR="00173D3D" w:rsidRDefault="00173D3D" w:rsidP="00173D3D">
      <w:pPr>
        <w:spacing w:after="0" w:line="240" w:lineRule="auto"/>
        <w:jc w:val="both"/>
        <w:rPr>
          <w:sz w:val="22"/>
          <w:szCs w:val="22"/>
          <w:lang w:val="fr-FR"/>
        </w:rPr>
      </w:pPr>
      <w:r w:rsidRPr="00173D3D">
        <w:rPr>
          <w:b/>
          <w:bCs/>
          <w:sz w:val="22"/>
          <w:szCs w:val="22"/>
          <w:lang w:val="fr-FR"/>
        </w:rPr>
        <w:t>ADV7103 a reçu la désignation de médicament orphelin dans l’ATRd aux Etats-Unis, un</w:t>
      </w:r>
      <w:r w:rsidR="00184FF4">
        <w:rPr>
          <w:b/>
          <w:bCs/>
          <w:sz w:val="22"/>
          <w:szCs w:val="22"/>
          <w:lang w:val="fr-FR"/>
        </w:rPr>
        <w:t xml:space="preserve"> levier majeur de création de v</w:t>
      </w:r>
      <w:r w:rsidRPr="00173D3D">
        <w:rPr>
          <w:b/>
          <w:bCs/>
          <w:sz w:val="22"/>
          <w:szCs w:val="22"/>
          <w:lang w:val="fr-FR"/>
        </w:rPr>
        <w:t>aleur.</w:t>
      </w:r>
      <w:r w:rsidRPr="00173D3D">
        <w:rPr>
          <w:sz w:val="22"/>
          <w:szCs w:val="22"/>
          <w:lang w:val="fr-FR"/>
        </w:rPr>
        <w:t xml:space="preserve"> Advicenne a franchi une étape importante aux Etats-Unis en obtenant le statut de médicament orphelin pour ADV7103 dans l</w:t>
      </w:r>
      <w:r>
        <w:rPr>
          <w:sz w:val="22"/>
          <w:szCs w:val="22"/>
          <w:lang w:val="fr-FR"/>
        </w:rPr>
        <w:t>’ATRd</w:t>
      </w:r>
      <w:r w:rsidRPr="00173D3D">
        <w:rPr>
          <w:sz w:val="22"/>
          <w:szCs w:val="22"/>
          <w:lang w:val="fr-FR"/>
        </w:rPr>
        <w:t xml:space="preserve">. </w:t>
      </w:r>
      <w:r>
        <w:rPr>
          <w:sz w:val="22"/>
          <w:szCs w:val="22"/>
          <w:lang w:val="fr-FR"/>
        </w:rPr>
        <w:t>Ce</w:t>
      </w:r>
      <w:r w:rsidRPr="00173D3D">
        <w:rPr>
          <w:sz w:val="22"/>
          <w:szCs w:val="22"/>
          <w:lang w:val="fr-FR"/>
        </w:rPr>
        <w:t xml:space="preserve"> statut confère une exclusivité commerciale de 7 ans à compter de la date d'autorisation de mise sur le marché et augmente considérablement la valeur potentielle d'ADV7103. Dans la mesure où Advicenne recherche un partenaire aux Etats-Unis, ce</w:t>
      </w:r>
      <w:r w:rsidR="00184FF4">
        <w:rPr>
          <w:sz w:val="22"/>
          <w:szCs w:val="22"/>
          <w:lang w:val="fr-FR"/>
        </w:rPr>
        <w:t xml:space="preserve"> succès</w:t>
      </w:r>
      <w:r w:rsidRPr="00173D3D">
        <w:rPr>
          <w:sz w:val="22"/>
          <w:szCs w:val="22"/>
          <w:lang w:val="fr-FR"/>
        </w:rPr>
        <w:t xml:space="preserve"> pourrait faciliter les discussions. Dans l'intervalle, Advicenne a poursuivi sa stratégie de réduction des risques réglementaires et de développement et a pu améliorer sa conformité aux exigences de la FDA</w:t>
      </w:r>
      <w:r>
        <w:rPr>
          <w:sz w:val="22"/>
          <w:szCs w:val="22"/>
          <w:lang w:val="fr-FR"/>
        </w:rPr>
        <w:t xml:space="preserve"> (Food &amp; Dru</w:t>
      </w:r>
      <w:r w:rsidR="00D14A6D">
        <w:rPr>
          <w:sz w:val="22"/>
          <w:szCs w:val="22"/>
          <w:lang w:val="fr-FR"/>
        </w:rPr>
        <w:t>g</w:t>
      </w:r>
      <w:r>
        <w:rPr>
          <w:sz w:val="22"/>
          <w:szCs w:val="22"/>
          <w:lang w:val="fr-FR"/>
        </w:rPr>
        <w:t xml:space="preserve"> Administration)</w:t>
      </w:r>
      <w:r w:rsidRPr="00173D3D">
        <w:rPr>
          <w:sz w:val="22"/>
          <w:szCs w:val="22"/>
          <w:lang w:val="fr-FR"/>
        </w:rPr>
        <w:t xml:space="preserve"> sur le chemin de l'autorisation de mise sur le marché.</w:t>
      </w:r>
    </w:p>
    <w:p w14:paraId="42D3F90B" w14:textId="77777777" w:rsidR="00173D3D" w:rsidRDefault="00173D3D" w:rsidP="00173D3D">
      <w:pPr>
        <w:spacing w:after="0" w:line="240" w:lineRule="auto"/>
        <w:jc w:val="both"/>
        <w:rPr>
          <w:sz w:val="22"/>
          <w:szCs w:val="22"/>
          <w:lang w:val="fr-FR"/>
        </w:rPr>
      </w:pPr>
    </w:p>
    <w:p w14:paraId="518F09F1" w14:textId="77409353" w:rsidR="00173D3D" w:rsidRPr="00173D3D" w:rsidRDefault="00173D3D" w:rsidP="00173D3D">
      <w:pPr>
        <w:spacing w:after="0" w:line="240" w:lineRule="auto"/>
        <w:jc w:val="both"/>
        <w:rPr>
          <w:sz w:val="22"/>
          <w:szCs w:val="22"/>
          <w:lang w:val="fr-FR"/>
        </w:rPr>
      </w:pPr>
      <w:r w:rsidRPr="00173D3D">
        <w:rPr>
          <w:b/>
          <w:bCs/>
          <w:sz w:val="22"/>
          <w:szCs w:val="22"/>
          <w:lang w:val="fr-FR"/>
        </w:rPr>
        <w:t xml:space="preserve">Renforcement financier et </w:t>
      </w:r>
      <w:r w:rsidR="00184FF4">
        <w:rPr>
          <w:b/>
          <w:bCs/>
          <w:sz w:val="22"/>
          <w:szCs w:val="22"/>
          <w:lang w:val="fr-FR"/>
        </w:rPr>
        <w:t>succès manag</w:t>
      </w:r>
      <w:r w:rsidR="00BA1DA6">
        <w:rPr>
          <w:b/>
          <w:bCs/>
          <w:sz w:val="22"/>
          <w:szCs w:val="22"/>
          <w:lang w:val="fr-FR"/>
        </w:rPr>
        <w:t>é</w:t>
      </w:r>
      <w:r w:rsidR="00184FF4">
        <w:rPr>
          <w:b/>
          <w:bCs/>
          <w:sz w:val="22"/>
          <w:szCs w:val="22"/>
          <w:lang w:val="fr-FR"/>
        </w:rPr>
        <w:t>riaux</w:t>
      </w:r>
      <w:r w:rsidRPr="00173D3D">
        <w:rPr>
          <w:b/>
          <w:bCs/>
          <w:sz w:val="22"/>
          <w:szCs w:val="22"/>
          <w:lang w:val="fr-FR"/>
        </w:rPr>
        <w:t>.</w:t>
      </w:r>
      <w:r w:rsidRPr="00173D3D">
        <w:rPr>
          <w:sz w:val="22"/>
          <w:szCs w:val="22"/>
          <w:lang w:val="fr-FR"/>
        </w:rPr>
        <w:t xml:space="preserve"> En décembre 2022, la Société a renforcé sa position financière avec le tirage de la deuxième tranche du prêt de la BEI pour un montant total de 5 millions d'euros. Ce financement permettra à la </w:t>
      </w:r>
      <w:r>
        <w:rPr>
          <w:sz w:val="22"/>
          <w:szCs w:val="22"/>
          <w:lang w:val="fr-FR"/>
        </w:rPr>
        <w:t>S</w:t>
      </w:r>
      <w:r w:rsidRPr="00173D3D">
        <w:rPr>
          <w:sz w:val="22"/>
          <w:szCs w:val="22"/>
          <w:lang w:val="fr-FR"/>
        </w:rPr>
        <w:t>ociété de poursuivre son développement commercial en Europe et de renforcer la valeur d'ADV7103 aux États-Unis. La feuille de route opérationnelle claire est soutenue par une équipe de direction expérimentée qui a été entièrement renouvelée en 2021 et 2022.</w:t>
      </w:r>
    </w:p>
    <w:p w14:paraId="1CE93F27" w14:textId="5C1999B1" w:rsidR="00550DE9" w:rsidRDefault="00550DE9" w:rsidP="00173D3D">
      <w:pPr>
        <w:spacing w:after="0" w:line="240" w:lineRule="auto"/>
        <w:rPr>
          <w:sz w:val="22"/>
          <w:szCs w:val="22"/>
          <w:lang w:val="fr-FR"/>
        </w:rPr>
      </w:pPr>
    </w:p>
    <w:p w14:paraId="30F06D0D" w14:textId="77777777" w:rsidR="00173D3D" w:rsidRDefault="00550DE9" w:rsidP="00173D3D">
      <w:pPr>
        <w:pStyle w:val="Paragraphedeliste"/>
        <w:numPr>
          <w:ilvl w:val="0"/>
          <w:numId w:val="6"/>
        </w:numPr>
        <w:spacing w:after="0" w:line="240" w:lineRule="auto"/>
        <w:jc w:val="both"/>
        <w:rPr>
          <w:b/>
          <w:bCs/>
          <w:sz w:val="22"/>
          <w:szCs w:val="22"/>
          <w:lang w:val="fr-FR"/>
        </w:rPr>
      </w:pPr>
      <w:r w:rsidRPr="00550DE9">
        <w:rPr>
          <w:b/>
          <w:bCs/>
          <w:sz w:val="22"/>
          <w:szCs w:val="22"/>
          <w:lang w:val="fr-FR"/>
        </w:rPr>
        <w:t>Perspectives 202</w:t>
      </w:r>
      <w:r w:rsidR="00173D3D">
        <w:rPr>
          <w:b/>
          <w:bCs/>
          <w:sz w:val="22"/>
          <w:szCs w:val="22"/>
          <w:lang w:val="fr-FR"/>
        </w:rPr>
        <w:t>3</w:t>
      </w:r>
    </w:p>
    <w:p w14:paraId="6C06A743" w14:textId="77777777" w:rsidR="00173D3D" w:rsidRDefault="00173D3D" w:rsidP="00173D3D">
      <w:pPr>
        <w:spacing w:after="0" w:line="240" w:lineRule="auto"/>
        <w:jc w:val="both"/>
        <w:rPr>
          <w:sz w:val="22"/>
          <w:szCs w:val="22"/>
          <w:lang w:val="fr-FR"/>
        </w:rPr>
      </w:pPr>
    </w:p>
    <w:p w14:paraId="1AEC84DA" w14:textId="404A9898" w:rsidR="00DA4EE8" w:rsidRPr="00173D3D" w:rsidRDefault="00173D3D" w:rsidP="00173D3D">
      <w:pPr>
        <w:spacing w:after="0" w:line="240" w:lineRule="auto"/>
        <w:jc w:val="both"/>
        <w:rPr>
          <w:b/>
          <w:bCs/>
          <w:sz w:val="22"/>
          <w:szCs w:val="22"/>
          <w:lang w:val="fr-FR"/>
        </w:rPr>
      </w:pPr>
      <w:r w:rsidRPr="00173D3D">
        <w:rPr>
          <w:sz w:val="22"/>
          <w:szCs w:val="22"/>
          <w:lang w:val="fr-FR"/>
        </w:rPr>
        <w:t>Au cours de l'exercice 2023, Advicenne prévoit d'accélérer la croissance des ventes de son principal produit, Sibnayal®, en Europe</w:t>
      </w:r>
      <w:r w:rsidR="00C353E4">
        <w:rPr>
          <w:sz w:val="22"/>
          <w:szCs w:val="22"/>
          <w:lang w:val="fr-FR"/>
        </w:rPr>
        <w:t xml:space="preserve">, en </w:t>
      </w:r>
      <w:r w:rsidRPr="00173D3D">
        <w:rPr>
          <w:sz w:val="22"/>
          <w:szCs w:val="22"/>
          <w:lang w:val="fr-FR"/>
        </w:rPr>
        <w:t>direct et par le biais des partenariats signés. La Société a également l'intention de conclure de nouveaux accords commerciaux dans d'autres zones géographiques. Aux États-Unis, Advicenne poursuivra les travaux réglementaires et cliniques pour développer la valeur potentielle d'ADV7103 dans l</w:t>
      </w:r>
      <w:r>
        <w:rPr>
          <w:sz w:val="22"/>
          <w:szCs w:val="22"/>
          <w:lang w:val="fr-FR"/>
        </w:rPr>
        <w:t xml:space="preserve">’ATRd </w:t>
      </w:r>
      <w:r w:rsidRPr="00173D3D">
        <w:rPr>
          <w:sz w:val="22"/>
          <w:szCs w:val="22"/>
          <w:lang w:val="fr-FR"/>
        </w:rPr>
        <w:t>et dans la cystinurie.</w:t>
      </w:r>
    </w:p>
    <w:p w14:paraId="45ADAEC3" w14:textId="77777777" w:rsidR="00311D8B" w:rsidRPr="005C3848" w:rsidRDefault="00311D8B" w:rsidP="00311D8B">
      <w:pPr>
        <w:spacing w:after="0" w:line="240" w:lineRule="auto"/>
        <w:jc w:val="both"/>
        <w:rPr>
          <w:noProof/>
          <w:sz w:val="22"/>
          <w:szCs w:val="22"/>
          <w:lang w:val="fr-FR"/>
        </w:rPr>
      </w:pPr>
    </w:p>
    <w:p w14:paraId="2C5BE27A" w14:textId="77777777" w:rsidR="00173D3D" w:rsidRDefault="00173D3D" w:rsidP="00311D8B">
      <w:pPr>
        <w:spacing w:after="0" w:line="240" w:lineRule="auto"/>
        <w:rPr>
          <w:rFonts w:ascii="Arial" w:hAnsi="Arial" w:cs="Arial"/>
          <w:b/>
          <w:bCs/>
          <w:noProof/>
          <w:lang w:val="fr-FR"/>
        </w:rPr>
      </w:pPr>
    </w:p>
    <w:p w14:paraId="58CC4C56" w14:textId="77777777" w:rsidR="00173D3D" w:rsidRDefault="00173D3D" w:rsidP="00311D8B">
      <w:pPr>
        <w:spacing w:after="0" w:line="240" w:lineRule="auto"/>
        <w:rPr>
          <w:rFonts w:ascii="Arial" w:hAnsi="Arial" w:cs="Arial"/>
          <w:b/>
          <w:bCs/>
          <w:noProof/>
          <w:lang w:val="fr-FR"/>
        </w:rPr>
      </w:pPr>
    </w:p>
    <w:p w14:paraId="33165BC9" w14:textId="5C0C23F5" w:rsidR="00311D8B" w:rsidRPr="0022789D" w:rsidRDefault="00311D8B" w:rsidP="00311D8B">
      <w:pPr>
        <w:spacing w:after="0" w:line="240" w:lineRule="auto"/>
        <w:rPr>
          <w:rFonts w:ascii="Arial" w:hAnsi="Arial" w:cs="Arial"/>
          <w:b/>
          <w:bCs/>
          <w:noProof/>
          <w:lang w:val="fr-FR"/>
        </w:rPr>
      </w:pPr>
      <w:r w:rsidRPr="0022789D">
        <w:rPr>
          <w:rFonts w:ascii="Arial" w:hAnsi="Arial" w:cs="Arial"/>
          <w:b/>
          <w:bCs/>
          <w:noProof/>
          <w:lang w:val="fr-FR"/>
        </w:rPr>
        <w:t>CONTACTS</w:t>
      </w:r>
    </w:p>
    <w:p w14:paraId="7BCC0BE7" w14:textId="77777777" w:rsidR="00311D8B" w:rsidRPr="0022789D" w:rsidRDefault="00311D8B" w:rsidP="00311D8B">
      <w:pPr>
        <w:spacing w:after="0" w:line="240" w:lineRule="auto"/>
        <w:rPr>
          <w:b/>
          <w:bCs/>
          <w:noProof/>
          <w:lang w:val="fr-FR"/>
        </w:rPr>
      </w:pPr>
    </w:p>
    <w:tbl>
      <w:tblPr>
        <w:tblW w:w="0" w:type="auto"/>
        <w:tblLook w:val="04A0" w:firstRow="1" w:lastRow="0" w:firstColumn="1" w:lastColumn="0" w:noHBand="0" w:noVBand="1"/>
      </w:tblPr>
      <w:tblGrid>
        <w:gridCol w:w="4595"/>
        <w:gridCol w:w="4477"/>
      </w:tblGrid>
      <w:tr w:rsidR="00311D8B" w:rsidRPr="00B65F3B" w14:paraId="6C0D7B0A" w14:textId="77777777" w:rsidTr="000E0E4B">
        <w:trPr>
          <w:trHeight w:val="844"/>
        </w:trPr>
        <w:tc>
          <w:tcPr>
            <w:tcW w:w="4595" w:type="dxa"/>
            <w:shd w:val="clear" w:color="auto" w:fill="auto"/>
          </w:tcPr>
          <w:p w14:paraId="16D27AB5" w14:textId="739BFD71" w:rsidR="00311D8B" w:rsidRPr="00B11EF9" w:rsidRDefault="00311D8B" w:rsidP="000E0E4B">
            <w:pPr>
              <w:spacing w:after="0" w:line="240" w:lineRule="auto"/>
              <w:ind w:left="-108"/>
              <w:jc w:val="both"/>
              <w:rPr>
                <w:rStyle w:val="relationnom"/>
                <w:rFonts w:cstheme="minorHAnsi"/>
                <w:color w:val="000000"/>
                <w:lang w:val="fr-FR"/>
              </w:rPr>
            </w:pPr>
            <w:r w:rsidRPr="00B11EF9">
              <w:rPr>
                <w:rStyle w:val="relationsociete"/>
                <w:rFonts w:cstheme="minorHAnsi"/>
                <w:b/>
                <w:bCs/>
                <w:color w:val="000000"/>
                <w:lang w:val="fr-FR"/>
              </w:rPr>
              <w:t>Advicenne</w:t>
            </w:r>
            <w:r w:rsidRPr="00B11EF9">
              <w:rPr>
                <w:rFonts w:cstheme="minorHAnsi"/>
                <w:bCs/>
                <w:color w:val="000000"/>
                <w:lang w:val="fr-FR"/>
              </w:rPr>
              <w:br/>
            </w:r>
            <w:r w:rsidRPr="00B11EF9">
              <w:rPr>
                <w:rStyle w:val="relationsociete"/>
                <w:rFonts w:cstheme="minorHAnsi"/>
                <w:color w:val="000000"/>
                <w:lang w:val="fr-FR"/>
              </w:rPr>
              <w:t>Didier Laurens, CEO</w:t>
            </w:r>
          </w:p>
          <w:p w14:paraId="23BA2DD9" w14:textId="2EC3895F" w:rsidR="00311D8B" w:rsidRPr="00B11EF9" w:rsidRDefault="00311D8B" w:rsidP="000E0E4B">
            <w:pPr>
              <w:spacing w:after="0" w:line="240" w:lineRule="auto"/>
              <w:ind w:left="-108"/>
              <w:rPr>
                <w:rFonts w:cstheme="minorHAnsi"/>
                <w:bCs/>
                <w:color w:val="000000"/>
                <w:lang w:val="fr-FR"/>
              </w:rPr>
            </w:pPr>
            <w:r w:rsidRPr="00B11EF9">
              <w:rPr>
                <w:rFonts w:cstheme="minorHAnsi"/>
                <w:bCs/>
                <w:color w:val="000000"/>
                <w:lang w:val="fr-FR"/>
              </w:rPr>
              <w:t>+33 (0)</w:t>
            </w:r>
            <w:r w:rsidR="00B11EF9">
              <w:rPr>
                <w:rFonts w:cstheme="minorHAnsi"/>
                <w:bCs/>
                <w:color w:val="000000"/>
                <w:lang w:val="fr-FR"/>
              </w:rPr>
              <w:t xml:space="preserve"> 1 87 44 40 17</w:t>
            </w:r>
          </w:p>
          <w:p w14:paraId="387DAB3C" w14:textId="77777777" w:rsidR="00311D8B" w:rsidRPr="00B11EF9" w:rsidRDefault="00311D8B" w:rsidP="000E0E4B">
            <w:pPr>
              <w:spacing w:after="0" w:line="240" w:lineRule="auto"/>
              <w:ind w:left="-108"/>
              <w:rPr>
                <w:rStyle w:val="relationsociete"/>
                <w:rFonts w:cstheme="minorHAnsi"/>
                <w:bCs/>
                <w:color w:val="000000"/>
                <w:lang w:val="fr-FR"/>
              </w:rPr>
            </w:pPr>
            <w:r w:rsidRPr="00B11EF9">
              <w:rPr>
                <w:rFonts w:cstheme="minorHAnsi"/>
                <w:bCs/>
                <w:color w:val="000000"/>
                <w:lang w:val="fr-FR"/>
              </w:rPr>
              <w:t xml:space="preserve">Email: </w:t>
            </w:r>
            <w:hyperlink r:id="rId9" w:history="1">
              <w:r w:rsidRPr="00B11EF9">
                <w:rPr>
                  <w:rStyle w:val="Lienhypertexte"/>
                  <w:rFonts w:cstheme="minorHAnsi"/>
                  <w:bCs/>
                  <w:lang w:val="fr-FR"/>
                </w:rPr>
                <w:t>investors@advicenne.com</w:t>
              </w:r>
            </w:hyperlink>
            <w:r w:rsidRPr="00B11EF9">
              <w:rPr>
                <w:rFonts w:cstheme="minorHAnsi"/>
                <w:bCs/>
                <w:color w:val="000000"/>
                <w:lang w:val="fr-FR"/>
              </w:rPr>
              <w:t xml:space="preserve"> </w:t>
            </w:r>
          </w:p>
        </w:tc>
        <w:tc>
          <w:tcPr>
            <w:tcW w:w="4477" w:type="dxa"/>
            <w:shd w:val="clear" w:color="auto" w:fill="auto"/>
          </w:tcPr>
          <w:p w14:paraId="481EE8A0" w14:textId="27311DAF" w:rsidR="00311D8B" w:rsidRPr="00B65F3B" w:rsidRDefault="00A55BB8" w:rsidP="000E0E4B">
            <w:pPr>
              <w:spacing w:after="0" w:line="240" w:lineRule="auto"/>
              <w:ind w:left="-108"/>
              <w:jc w:val="both"/>
              <w:rPr>
                <w:rFonts w:cstheme="minorHAnsi"/>
                <w:b/>
                <w:bCs/>
                <w:color w:val="000000"/>
              </w:rPr>
            </w:pPr>
            <w:r w:rsidRPr="00B65F3B">
              <w:rPr>
                <w:rFonts w:cstheme="minorHAnsi"/>
                <w:b/>
                <w:bCs/>
                <w:color w:val="000000"/>
              </w:rPr>
              <w:t>Ulysse</w:t>
            </w:r>
            <w:r w:rsidR="00311D8B" w:rsidRPr="00B65F3B">
              <w:rPr>
                <w:rFonts w:cstheme="minorHAnsi"/>
                <w:b/>
                <w:bCs/>
                <w:color w:val="000000"/>
              </w:rPr>
              <w:t xml:space="preserve"> Communication</w:t>
            </w:r>
          </w:p>
          <w:p w14:paraId="64CF1512" w14:textId="77777777" w:rsidR="00311D8B" w:rsidRPr="00B65F3B" w:rsidRDefault="00311D8B" w:rsidP="000E0E4B">
            <w:pPr>
              <w:spacing w:after="0" w:line="240" w:lineRule="auto"/>
              <w:ind w:left="-108"/>
              <w:jc w:val="both"/>
              <w:rPr>
                <w:rFonts w:cstheme="minorHAnsi"/>
                <w:color w:val="000000"/>
              </w:rPr>
            </w:pPr>
            <w:r w:rsidRPr="00B65F3B">
              <w:rPr>
                <w:rFonts w:cstheme="minorHAnsi"/>
                <w:color w:val="000000"/>
              </w:rPr>
              <w:t>Media relations</w:t>
            </w:r>
          </w:p>
          <w:p w14:paraId="7768304C" w14:textId="77777777" w:rsidR="00311D8B" w:rsidRPr="00B65F3B" w:rsidRDefault="00311D8B" w:rsidP="000E0E4B">
            <w:pPr>
              <w:spacing w:after="0" w:line="240" w:lineRule="auto"/>
              <w:ind w:left="-108"/>
              <w:jc w:val="both"/>
              <w:rPr>
                <w:rFonts w:cstheme="minorHAnsi"/>
                <w:color w:val="000000"/>
                <w:lang w:val="en-US"/>
              </w:rPr>
            </w:pPr>
            <w:r w:rsidRPr="00B65F3B">
              <w:rPr>
                <w:rFonts w:cstheme="minorHAnsi"/>
                <w:color w:val="000000"/>
                <w:lang w:val="en-US"/>
              </w:rPr>
              <w:t>Bruno Arabian</w:t>
            </w:r>
          </w:p>
          <w:p w14:paraId="7311CEDD" w14:textId="77777777" w:rsidR="00311D8B" w:rsidRPr="00B65F3B" w:rsidRDefault="00311D8B" w:rsidP="000E0E4B">
            <w:pPr>
              <w:spacing w:after="0" w:line="240" w:lineRule="auto"/>
              <w:ind w:left="-108"/>
              <w:jc w:val="both"/>
              <w:rPr>
                <w:rFonts w:cstheme="minorHAnsi"/>
                <w:lang w:val="en-US"/>
              </w:rPr>
            </w:pPr>
            <w:r w:rsidRPr="00B65F3B">
              <w:rPr>
                <w:rFonts w:cstheme="minorHAnsi"/>
                <w:lang w:val="en-US"/>
              </w:rPr>
              <w:t>+33 (0)6 87 88 47 26</w:t>
            </w:r>
          </w:p>
          <w:p w14:paraId="023FFE5A" w14:textId="0DFD9F8E" w:rsidR="00311D8B" w:rsidRPr="00B65F3B" w:rsidRDefault="00311D8B" w:rsidP="000E0E4B">
            <w:pPr>
              <w:spacing w:after="0" w:line="240" w:lineRule="auto"/>
              <w:ind w:left="-108"/>
              <w:jc w:val="both"/>
              <w:rPr>
                <w:rStyle w:val="relationsociete"/>
                <w:rFonts w:cstheme="minorHAnsi"/>
              </w:rPr>
            </w:pPr>
            <w:r w:rsidRPr="00B65F3B">
              <w:rPr>
                <w:rFonts w:cstheme="minorHAnsi"/>
                <w:lang w:val="en-US"/>
              </w:rPr>
              <w:t xml:space="preserve">Email: </w:t>
            </w:r>
            <w:hyperlink r:id="rId10" w:history="1">
              <w:r w:rsidRPr="00AD0558">
                <w:rPr>
                  <w:rStyle w:val="Lienhypertexte"/>
                  <w:rFonts w:cstheme="minorHAnsi"/>
                  <w:lang w:val="en-US"/>
                </w:rPr>
                <w:t>advicenne@ulysse-communication.com</w:t>
              </w:r>
            </w:hyperlink>
          </w:p>
        </w:tc>
      </w:tr>
      <w:tr w:rsidR="00311D8B" w:rsidRPr="00B65F3B" w14:paraId="512A62DD" w14:textId="77777777" w:rsidTr="000E0E4B">
        <w:trPr>
          <w:trHeight w:val="844"/>
        </w:trPr>
        <w:tc>
          <w:tcPr>
            <w:tcW w:w="4595" w:type="dxa"/>
            <w:shd w:val="clear" w:color="auto" w:fill="auto"/>
          </w:tcPr>
          <w:p w14:paraId="2AA5280A" w14:textId="7DA5DFFB" w:rsidR="00311D8B" w:rsidRPr="00B65F3B" w:rsidRDefault="00311D8B" w:rsidP="000E0E4B">
            <w:pPr>
              <w:spacing w:after="0" w:line="240" w:lineRule="auto"/>
              <w:ind w:left="-108"/>
              <w:jc w:val="both"/>
              <w:rPr>
                <w:rStyle w:val="relationsociete"/>
                <w:rFonts w:cstheme="minorHAnsi"/>
                <w:b/>
                <w:bCs/>
                <w:color w:val="000000"/>
              </w:rPr>
            </w:pPr>
          </w:p>
        </w:tc>
        <w:tc>
          <w:tcPr>
            <w:tcW w:w="4477" w:type="dxa"/>
            <w:shd w:val="clear" w:color="auto" w:fill="auto"/>
          </w:tcPr>
          <w:p w14:paraId="1CFDD6E9" w14:textId="77777777" w:rsidR="00311D8B" w:rsidRPr="00B65F3B" w:rsidRDefault="00311D8B" w:rsidP="000E0E4B">
            <w:pPr>
              <w:spacing w:after="0" w:line="240" w:lineRule="auto"/>
              <w:ind w:left="-108"/>
              <w:jc w:val="both"/>
              <w:rPr>
                <w:rFonts w:cstheme="minorHAnsi"/>
                <w:lang w:val="en-US"/>
              </w:rPr>
            </w:pPr>
          </w:p>
        </w:tc>
      </w:tr>
    </w:tbl>
    <w:p w14:paraId="621F974B" w14:textId="77777777" w:rsidR="00311D8B" w:rsidRDefault="00311D8B" w:rsidP="00311D8B">
      <w:pPr>
        <w:spacing w:after="0" w:line="240" w:lineRule="auto"/>
        <w:jc w:val="both"/>
        <w:rPr>
          <w:rFonts w:eastAsia="DFKai-SB"/>
          <w:b/>
        </w:rPr>
      </w:pPr>
    </w:p>
    <w:p w14:paraId="6D6330E7" w14:textId="77777777" w:rsidR="002B3CF7" w:rsidRDefault="002B3CF7" w:rsidP="00311D8B">
      <w:pPr>
        <w:spacing w:after="0" w:line="240" w:lineRule="auto"/>
        <w:jc w:val="both"/>
        <w:rPr>
          <w:rFonts w:eastAsia="DFKai-SB"/>
          <w:b/>
          <w:lang w:val="fr-FR"/>
        </w:rPr>
      </w:pPr>
    </w:p>
    <w:p w14:paraId="27EB533A" w14:textId="77777777" w:rsidR="00173D3D" w:rsidRDefault="00173D3D" w:rsidP="002B3CF7">
      <w:pPr>
        <w:spacing w:before="100" w:beforeAutospacing="1" w:after="100" w:afterAutospacing="1" w:line="240" w:lineRule="auto"/>
        <w:jc w:val="both"/>
        <w:rPr>
          <w:rFonts w:ascii="Calibri" w:eastAsia="Times New Roman" w:hAnsi="Calibri" w:cs="Calibri"/>
          <w:b/>
          <w:bCs/>
          <w:lang w:val="fr-FR" w:eastAsia="fr-FR"/>
        </w:rPr>
      </w:pPr>
    </w:p>
    <w:p w14:paraId="318707EA" w14:textId="5A130D1F" w:rsidR="002B3CF7" w:rsidRDefault="002B3CF7" w:rsidP="002B3CF7">
      <w:pPr>
        <w:spacing w:before="100" w:beforeAutospacing="1" w:after="100" w:afterAutospacing="1" w:line="240" w:lineRule="auto"/>
        <w:jc w:val="both"/>
        <w:rPr>
          <w:rFonts w:ascii="Times New Roman" w:eastAsia="Times New Roman" w:hAnsi="Times New Roman" w:cs="Times New Roman"/>
          <w:sz w:val="24"/>
          <w:szCs w:val="24"/>
          <w:lang w:val="fr-FR" w:eastAsia="fr-FR"/>
        </w:rPr>
      </w:pPr>
      <w:r w:rsidRPr="005C3848">
        <w:rPr>
          <w:rFonts w:ascii="Calibri" w:eastAsia="Times New Roman" w:hAnsi="Calibri" w:cs="Calibri"/>
          <w:b/>
          <w:bCs/>
          <w:lang w:val="fr-FR" w:eastAsia="fr-FR"/>
        </w:rPr>
        <w:t xml:space="preserve">A PROPOS D’ADVICENNE </w:t>
      </w:r>
    </w:p>
    <w:p w14:paraId="244763B7" w14:textId="7574CAA4" w:rsidR="002B3CF7" w:rsidRPr="00664694" w:rsidRDefault="002B3CF7" w:rsidP="002B3CF7">
      <w:pPr>
        <w:spacing w:before="100" w:beforeAutospacing="1" w:after="100" w:afterAutospacing="1" w:line="240" w:lineRule="auto"/>
        <w:jc w:val="both"/>
        <w:rPr>
          <w:rFonts w:ascii="Times New Roman" w:eastAsia="Times New Roman" w:hAnsi="Times New Roman" w:cs="Times New Roman"/>
          <w:sz w:val="28"/>
          <w:szCs w:val="28"/>
          <w:lang w:val="fr-FR" w:eastAsia="fr-FR"/>
        </w:rPr>
      </w:pPr>
      <w:r w:rsidRPr="00B33436">
        <w:rPr>
          <w:rFonts w:ascii="Calibri" w:eastAsia="Times New Roman" w:hAnsi="Calibri" w:cs="Calibri"/>
          <w:sz w:val="22"/>
          <w:szCs w:val="22"/>
          <w:lang w:val="fr-FR" w:eastAsia="fr-FR"/>
        </w:rPr>
        <w:t>Advicenne (</w:t>
      </w:r>
      <w:r w:rsidR="00B33436" w:rsidRPr="00B33436">
        <w:rPr>
          <w:rFonts w:cstheme="minorHAnsi"/>
          <w:color w:val="000000" w:themeColor="text1"/>
          <w:sz w:val="22"/>
          <w:szCs w:val="22"/>
          <w:lang w:val="fr-FR"/>
        </w:rPr>
        <w:t>Euronext Growth Paris ALDVI - FR0013296746</w:t>
      </w:r>
      <w:r w:rsidRPr="00B33436">
        <w:rPr>
          <w:rFonts w:ascii="Calibri" w:eastAsia="Times New Roman" w:hAnsi="Calibri" w:cs="Calibri"/>
          <w:sz w:val="22"/>
          <w:szCs w:val="22"/>
          <w:lang w:val="fr-FR" w:eastAsia="fr-FR"/>
        </w:rPr>
        <w:t xml:space="preserve">) est une entreprise pharmaceutique créée en 2007, spécialisée dans le développement de traitements innovants en néphrologie. Son médicament principal, </w:t>
      </w:r>
      <w:r w:rsidR="001F7EA1" w:rsidRPr="00B33436">
        <w:rPr>
          <w:rFonts w:ascii="Calibri" w:eastAsia="Times New Roman" w:hAnsi="Calibri" w:cs="Calibri"/>
          <w:sz w:val="22"/>
          <w:szCs w:val="22"/>
          <w:lang w:val="fr-FR" w:eastAsia="fr-FR"/>
        </w:rPr>
        <w:t>Sibnayal</w:t>
      </w:r>
      <w:r w:rsidR="001F7EA1" w:rsidRPr="001F7EA1">
        <w:rPr>
          <w:rFonts w:ascii="Calibri" w:eastAsia="Times New Roman" w:hAnsi="Calibri" w:cs="Calibri"/>
          <w:sz w:val="22"/>
          <w:szCs w:val="22"/>
          <w:lang w:val="fr-FR" w:eastAsia="fr-FR"/>
        </w:rPr>
        <w:t>®</w:t>
      </w:r>
      <w:r w:rsidR="001F7EA1" w:rsidRPr="00B33436">
        <w:rPr>
          <w:rFonts w:ascii="Calibri" w:eastAsia="Times New Roman" w:hAnsi="Calibri" w:cs="Calibri"/>
          <w:sz w:val="22"/>
          <w:szCs w:val="22"/>
          <w:lang w:val="fr-FR" w:eastAsia="fr-FR"/>
        </w:rPr>
        <w:t xml:space="preserve"> </w:t>
      </w:r>
      <w:r w:rsidRPr="00B33436">
        <w:rPr>
          <w:rFonts w:ascii="Calibri" w:eastAsia="Times New Roman" w:hAnsi="Calibri" w:cs="Calibri"/>
          <w:sz w:val="22"/>
          <w:szCs w:val="22"/>
          <w:lang w:val="fr-FR" w:eastAsia="fr-FR"/>
        </w:rPr>
        <w:t xml:space="preserve">(ADV7103) a reçu une autorisation de mise sur le marché en Europe et au Royaume-Uni dans le traitement de l’acidose tubulaire rénale </w:t>
      </w:r>
      <w:r w:rsidR="0067393E">
        <w:rPr>
          <w:rFonts w:ascii="Calibri" w:eastAsia="Times New Roman" w:hAnsi="Calibri" w:cs="Calibri"/>
          <w:sz w:val="22"/>
          <w:szCs w:val="22"/>
          <w:lang w:val="fr-FR" w:eastAsia="fr-FR"/>
        </w:rPr>
        <w:t xml:space="preserve">distale </w:t>
      </w:r>
      <w:r w:rsidRPr="00B33436">
        <w:rPr>
          <w:rFonts w:ascii="Calibri" w:eastAsia="Times New Roman" w:hAnsi="Calibri" w:cs="Calibri"/>
          <w:sz w:val="22"/>
          <w:szCs w:val="22"/>
          <w:lang w:val="fr-FR" w:eastAsia="fr-FR"/>
        </w:rPr>
        <w:t>(ATRd).</w:t>
      </w:r>
      <w:r w:rsidRPr="00B33436">
        <w:rPr>
          <w:noProof/>
          <w:sz w:val="22"/>
          <w:szCs w:val="22"/>
          <w:lang w:val="fr-FR"/>
        </w:rPr>
        <w:t xml:space="preserve"> </w:t>
      </w:r>
      <w:r w:rsidRPr="00B33436">
        <w:rPr>
          <w:rFonts w:ascii="Calibri" w:eastAsia="Times New Roman" w:hAnsi="Calibri" w:cs="Calibri"/>
          <w:sz w:val="22"/>
          <w:szCs w:val="22"/>
          <w:lang w:val="fr-FR" w:eastAsia="fr-FR"/>
        </w:rPr>
        <w:t xml:space="preserve">ADV7103 est actuellement en phase avancée de développement clinique </w:t>
      </w:r>
      <w:r w:rsidR="00B33436" w:rsidRPr="00B33436">
        <w:rPr>
          <w:rFonts w:ascii="Calibri" w:eastAsia="Times New Roman" w:hAnsi="Calibri" w:cs="Calibri"/>
          <w:sz w:val="22"/>
          <w:szCs w:val="22"/>
          <w:lang w:val="fr-FR" w:eastAsia="fr-FR"/>
        </w:rPr>
        <w:t>en Amérique du Nord</w:t>
      </w:r>
      <w:r w:rsidRPr="00B33436">
        <w:rPr>
          <w:rFonts w:ascii="Calibri" w:eastAsia="Times New Roman" w:hAnsi="Calibri" w:cs="Calibri"/>
          <w:sz w:val="22"/>
          <w:szCs w:val="22"/>
          <w:lang w:val="fr-FR" w:eastAsia="fr-FR"/>
        </w:rPr>
        <w:t xml:space="preserve">. Basée à̀ </w:t>
      </w:r>
      <w:r w:rsidR="00173D3D" w:rsidRPr="00B33436">
        <w:rPr>
          <w:rFonts w:ascii="Calibri" w:eastAsia="Times New Roman" w:hAnsi="Calibri" w:cs="Calibri"/>
          <w:sz w:val="22"/>
          <w:szCs w:val="22"/>
          <w:lang w:val="fr-FR" w:eastAsia="fr-FR"/>
        </w:rPr>
        <w:t>Paris, cotée</w:t>
      </w:r>
      <w:r w:rsidRPr="00B33436">
        <w:rPr>
          <w:rFonts w:ascii="Calibri" w:eastAsia="Times New Roman" w:hAnsi="Calibri" w:cs="Calibri"/>
          <w:sz w:val="22"/>
          <w:szCs w:val="22"/>
          <w:lang w:val="fr-FR" w:eastAsia="fr-FR"/>
        </w:rPr>
        <w:t xml:space="preserve"> sur le marché́ d’Euronext à Paris depuis 2017</w:t>
      </w:r>
      <w:r w:rsidR="00173D3D" w:rsidRPr="00B33436">
        <w:rPr>
          <w:rFonts w:ascii="Calibri" w:eastAsia="Times New Roman" w:hAnsi="Calibri" w:cs="Calibri"/>
          <w:sz w:val="22"/>
          <w:szCs w:val="22"/>
          <w:lang w:val="fr-FR" w:eastAsia="fr-FR"/>
        </w:rPr>
        <w:t xml:space="preserve">, Advicenne est </w:t>
      </w:r>
      <w:r w:rsidR="00B33436" w:rsidRPr="00B33436">
        <w:rPr>
          <w:rFonts w:ascii="Calibri" w:eastAsia="Times New Roman" w:hAnsi="Calibri" w:cs="Calibri"/>
          <w:sz w:val="22"/>
          <w:szCs w:val="22"/>
          <w:lang w:val="fr-FR" w:eastAsia="fr-FR"/>
        </w:rPr>
        <w:t>désormais</w:t>
      </w:r>
      <w:r w:rsidR="00173D3D" w:rsidRPr="00B33436">
        <w:rPr>
          <w:rFonts w:ascii="Calibri" w:eastAsia="Times New Roman" w:hAnsi="Calibri" w:cs="Calibri"/>
          <w:sz w:val="22"/>
          <w:szCs w:val="22"/>
          <w:lang w:val="fr-FR" w:eastAsia="fr-FR"/>
        </w:rPr>
        <w:t xml:space="preserve"> cotée sur Euronext Growth depuis son transfert le 30 mars 2022</w:t>
      </w:r>
      <w:r w:rsidRPr="00B33436">
        <w:rPr>
          <w:rFonts w:ascii="Calibri" w:eastAsia="Times New Roman" w:hAnsi="Calibri" w:cs="Calibri"/>
          <w:sz w:val="22"/>
          <w:szCs w:val="22"/>
          <w:lang w:val="fr-FR" w:eastAsia="fr-FR"/>
        </w:rPr>
        <w:t>.</w:t>
      </w:r>
      <w:r w:rsidRPr="0022789D">
        <w:rPr>
          <w:rFonts w:ascii="Calibri" w:eastAsia="Times New Roman" w:hAnsi="Calibri" w:cs="Calibri"/>
          <w:lang w:val="fr-FR" w:eastAsia="fr-FR"/>
        </w:rPr>
        <w:t xml:space="preserve"> </w:t>
      </w:r>
      <w:r w:rsidRPr="00664694">
        <w:rPr>
          <w:rFonts w:ascii="Calibri" w:eastAsia="Times New Roman" w:hAnsi="Calibri" w:cs="Calibri"/>
          <w:b/>
          <w:bCs/>
          <w:sz w:val="22"/>
          <w:szCs w:val="22"/>
          <w:lang w:val="fr-FR" w:eastAsia="fr-FR"/>
        </w:rPr>
        <w:t xml:space="preserve">Pour plus d’informations : </w:t>
      </w:r>
      <w:r w:rsidRPr="00664694">
        <w:rPr>
          <w:rFonts w:ascii="Calibri" w:eastAsia="Times New Roman" w:hAnsi="Calibri" w:cs="Calibri"/>
          <w:color w:val="005EBC"/>
          <w:sz w:val="22"/>
          <w:szCs w:val="22"/>
          <w:lang w:val="fr-FR" w:eastAsia="fr-FR"/>
        </w:rPr>
        <w:t xml:space="preserve">https://advicenne.com/ </w:t>
      </w:r>
    </w:p>
    <w:p w14:paraId="776AEC4D" w14:textId="77777777" w:rsidR="002B3CF7" w:rsidRDefault="002B3CF7" w:rsidP="00311D8B">
      <w:pPr>
        <w:spacing w:after="0" w:line="240" w:lineRule="auto"/>
        <w:jc w:val="both"/>
        <w:rPr>
          <w:rFonts w:eastAsia="DFKai-SB"/>
          <w:b/>
          <w:lang w:val="fr-FR"/>
        </w:rPr>
      </w:pPr>
    </w:p>
    <w:p w14:paraId="13FCFBB4" w14:textId="77777777" w:rsidR="0002036C" w:rsidRDefault="0002036C" w:rsidP="00311D8B">
      <w:pPr>
        <w:spacing w:after="0" w:line="240" w:lineRule="auto"/>
        <w:jc w:val="both"/>
        <w:rPr>
          <w:rFonts w:eastAsia="DFKai-SB"/>
          <w:b/>
          <w:lang w:val="fr-FR"/>
        </w:rPr>
      </w:pPr>
    </w:p>
    <w:p w14:paraId="70FBFE5F" w14:textId="45EC4417" w:rsidR="00311D8B" w:rsidRPr="00A55BB8" w:rsidRDefault="005C3848" w:rsidP="00311D8B">
      <w:pPr>
        <w:spacing w:after="0" w:line="240" w:lineRule="auto"/>
        <w:jc w:val="both"/>
        <w:rPr>
          <w:rFonts w:eastAsia="DFKai-SB"/>
          <w:b/>
          <w:lang w:val="fr-FR"/>
        </w:rPr>
      </w:pPr>
      <w:r w:rsidRPr="00A55BB8">
        <w:rPr>
          <w:rFonts w:eastAsia="DFKai-SB"/>
          <w:b/>
          <w:lang w:val="fr-FR"/>
        </w:rPr>
        <w:t>Déclarations prospectives</w:t>
      </w:r>
    </w:p>
    <w:p w14:paraId="411E9F3F" w14:textId="77777777" w:rsidR="00173D3D" w:rsidRDefault="00173D3D">
      <w:pPr>
        <w:spacing w:after="0" w:line="240" w:lineRule="auto"/>
        <w:rPr>
          <w:lang w:val="fr-FR"/>
        </w:rPr>
      </w:pPr>
    </w:p>
    <w:p w14:paraId="3FA9BCE4" w14:textId="3A8CD3E1" w:rsidR="006A0F7F" w:rsidRDefault="00173D3D" w:rsidP="00173D3D">
      <w:pPr>
        <w:spacing w:after="0" w:line="240" w:lineRule="auto"/>
        <w:jc w:val="both"/>
        <w:rPr>
          <w:i/>
          <w:iCs/>
          <w:sz w:val="16"/>
          <w:szCs w:val="16"/>
          <w:lang w:val="fr-FR"/>
        </w:rPr>
      </w:pPr>
      <w:r w:rsidRPr="00173D3D">
        <w:rPr>
          <w:i/>
          <w:iCs/>
          <w:sz w:val="16"/>
          <w:szCs w:val="16"/>
          <w:lang w:val="fr-FR"/>
        </w:rPr>
        <w:t>Ce communiqué de presse contient certaines déclarations prospectives concernant le groupe Advicenne et ses activités, y compris ses perspectives et le développement de ses produits candidats. Ces déclarations prospectives sont basées sur des hypothèses qu'Advicenne considère comme raisonnables. Cependant, il ne peut y avoir aucune assurance que les estimations contenues dans ces déclarations prospectives seront vérifiées, ces estimations étant soumises à de nombreux risques, y compris les risques énoncés dans le Document de Référence Universel 2021 déposé auprès de l'Autorité des Marchés Financiers le 29 avril 2022 (dont une copie est disponible sur www.advicenne.com) et à l'évolution de la conjoncture économique, des marchés financiers et des marchés sur lesquels Advicenne opère. Les déclarations prospectives contenues dans ce communiqué de presse sont également soumises à des risques dont Advicenne n'a pas encore connaissance ou qu'Advicenne ne considère pas comme significatifs à ce jour. La réalisation de tout ou partie de ces risques pourrait conduire à ce que les résultats réels, les conditions financières, les performances ou les réalisations d'Advicenne soient matériellement différents de ces déclarations prospectives. Advicenne décline expressément toute obligation de mise à jour de ces déclarations prévisionnelles.</w:t>
      </w:r>
    </w:p>
    <w:p w14:paraId="47A94038" w14:textId="77777777" w:rsidR="006A0F7F" w:rsidRDefault="006A0F7F">
      <w:pPr>
        <w:spacing w:after="0" w:line="240" w:lineRule="auto"/>
        <w:rPr>
          <w:i/>
          <w:iCs/>
          <w:sz w:val="16"/>
          <w:szCs w:val="16"/>
          <w:lang w:val="fr-FR"/>
        </w:rPr>
      </w:pPr>
      <w:r>
        <w:rPr>
          <w:i/>
          <w:iCs/>
          <w:sz w:val="16"/>
          <w:szCs w:val="16"/>
          <w:lang w:val="fr-FR"/>
        </w:rPr>
        <w:br w:type="page"/>
      </w:r>
    </w:p>
    <w:p w14:paraId="7986919B" w14:textId="77777777" w:rsidR="000A5895" w:rsidRPr="00173D3D" w:rsidRDefault="000A5895" w:rsidP="00173D3D">
      <w:pPr>
        <w:spacing w:after="0" w:line="240" w:lineRule="auto"/>
        <w:jc w:val="both"/>
        <w:rPr>
          <w:i/>
          <w:iCs/>
          <w:sz w:val="16"/>
          <w:szCs w:val="16"/>
          <w:lang w:val="fr-FR"/>
        </w:rPr>
      </w:pPr>
    </w:p>
    <w:p w14:paraId="0131C672" w14:textId="6C99C60D" w:rsidR="005F54BE" w:rsidRDefault="006A0F7F" w:rsidP="00694CB3">
      <w:pPr>
        <w:jc w:val="center"/>
        <w:rPr>
          <w:b/>
          <w:bCs/>
          <w:sz w:val="22"/>
          <w:szCs w:val="22"/>
          <w:lang w:val="fr-FR"/>
        </w:rPr>
      </w:pPr>
      <w:r w:rsidRPr="006A0F7F">
        <w:rPr>
          <w:b/>
          <w:bCs/>
          <w:sz w:val="22"/>
          <w:szCs w:val="22"/>
          <w:lang w:val="fr-FR"/>
        </w:rPr>
        <w:t xml:space="preserve">Annexes  </w:t>
      </w:r>
    </w:p>
    <w:p w14:paraId="7136807C" w14:textId="77777777" w:rsidR="006A0F7F" w:rsidRDefault="006A0F7F" w:rsidP="00694CB3">
      <w:pPr>
        <w:jc w:val="center"/>
        <w:rPr>
          <w:b/>
          <w:bCs/>
          <w:sz w:val="22"/>
          <w:szCs w:val="22"/>
          <w:lang w:val="fr-FR"/>
        </w:rPr>
      </w:pPr>
    </w:p>
    <w:p w14:paraId="624FC008" w14:textId="0ACB1D28" w:rsidR="006A0F7F" w:rsidRDefault="006A0F7F" w:rsidP="00694CB3">
      <w:pPr>
        <w:jc w:val="center"/>
        <w:rPr>
          <w:b/>
          <w:bCs/>
          <w:sz w:val="22"/>
          <w:szCs w:val="22"/>
          <w:lang w:val="fr-FR"/>
        </w:rPr>
      </w:pPr>
      <w:r w:rsidRPr="006A0F7F">
        <w:rPr>
          <w:b/>
          <w:bCs/>
          <w:sz w:val="22"/>
          <w:szCs w:val="22"/>
          <w:lang w:val="fr-FR"/>
        </w:rPr>
        <w:t>États financiers consolidés selon les normes IFRS relatifs à l’exercice clos le 31 décembre 202</w:t>
      </w:r>
      <w:r>
        <w:rPr>
          <w:b/>
          <w:bCs/>
          <w:sz w:val="22"/>
          <w:szCs w:val="22"/>
          <w:lang w:val="fr-FR"/>
        </w:rPr>
        <w:t>2</w:t>
      </w:r>
    </w:p>
    <w:p w14:paraId="2D2A3504" w14:textId="474097BF" w:rsidR="006A0F7F" w:rsidRDefault="006A0F7F" w:rsidP="006A0F7F">
      <w:pPr>
        <w:rPr>
          <w:b/>
          <w:bCs/>
          <w:sz w:val="22"/>
          <w:szCs w:val="22"/>
          <w:lang w:val="fr-FR"/>
        </w:rPr>
      </w:pPr>
    </w:p>
    <w:p w14:paraId="140A4432" w14:textId="789A94A2" w:rsidR="006A0F7F" w:rsidRDefault="006A0F7F" w:rsidP="006A0F7F">
      <w:pPr>
        <w:ind w:firstLine="708"/>
        <w:rPr>
          <w:b/>
          <w:bCs/>
          <w:sz w:val="22"/>
          <w:szCs w:val="22"/>
          <w:lang w:val="fr-FR"/>
        </w:rPr>
      </w:pPr>
      <w:r>
        <w:rPr>
          <w:b/>
          <w:bCs/>
          <w:sz w:val="22"/>
          <w:szCs w:val="22"/>
          <w:lang w:val="fr-FR"/>
        </w:rPr>
        <w:t>Bilan</w:t>
      </w:r>
    </w:p>
    <w:p w14:paraId="5D450F19" w14:textId="77BF6996" w:rsidR="006A0F7F" w:rsidRDefault="006A0F7F" w:rsidP="005266BB">
      <w:pPr>
        <w:ind w:firstLine="708"/>
        <w:jc w:val="center"/>
        <w:rPr>
          <w:b/>
          <w:bCs/>
          <w:sz w:val="22"/>
          <w:szCs w:val="22"/>
          <w:lang w:val="fr-FR"/>
        </w:rPr>
      </w:pPr>
      <w:r w:rsidRPr="006A0F7F">
        <w:rPr>
          <w:noProof/>
        </w:rPr>
        <w:drawing>
          <wp:inline distT="0" distB="0" distL="0" distR="0" wp14:anchorId="2FF4780F" wp14:editId="7FC305B8">
            <wp:extent cx="4025900" cy="4826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25900" cy="4826000"/>
                    </a:xfrm>
                    <a:prstGeom prst="rect">
                      <a:avLst/>
                    </a:prstGeom>
                    <a:noFill/>
                    <a:ln>
                      <a:noFill/>
                    </a:ln>
                  </pic:spPr>
                </pic:pic>
              </a:graphicData>
            </a:graphic>
          </wp:inline>
        </w:drawing>
      </w:r>
    </w:p>
    <w:p w14:paraId="5282C6D5" w14:textId="7E12B7B6" w:rsidR="006A0F7F" w:rsidRDefault="006A0F7F" w:rsidP="006A0F7F">
      <w:pPr>
        <w:ind w:firstLine="708"/>
        <w:rPr>
          <w:b/>
          <w:bCs/>
          <w:sz w:val="22"/>
          <w:szCs w:val="22"/>
          <w:lang w:val="fr-FR"/>
        </w:rPr>
      </w:pPr>
    </w:p>
    <w:p w14:paraId="0CC94D4F" w14:textId="77777777" w:rsidR="006A0F7F" w:rsidRDefault="006A0F7F">
      <w:pPr>
        <w:spacing w:after="0" w:line="240" w:lineRule="auto"/>
        <w:rPr>
          <w:b/>
          <w:bCs/>
          <w:sz w:val="22"/>
          <w:szCs w:val="22"/>
          <w:lang w:val="fr-FR"/>
        </w:rPr>
      </w:pPr>
      <w:r>
        <w:rPr>
          <w:b/>
          <w:bCs/>
          <w:sz w:val="22"/>
          <w:szCs w:val="22"/>
          <w:lang w:val="fr-FR"/>
        </w:rPr>
        <w:br w:type="page"/>
      </w:r>
    </w:p>
    <w:p w14:paraId="2F1EB542" w14:textId="0B992266" w:rsidR="006A0F7F" w:rsidRDefault="006A0F7F" w:rsidP="006A0F7F">
      <w:pPr>
        <w:ind w:firstLine="708"/>
        <w:rPr>
          <w:b/>
          <w:bCs/>
          <w:sz w:val="22"/>
          <w:szCs w:val="22"/>
          <w:lang w:val="fr-FR"/>
        </w:rPr>
      </w:pPr>
      <w:r>
        <w:rPr>
          <w:b/>
          <w:bCs/>
          <w:sz w:val="22"/>
          <w:szCs w:val="22"/>
          <w:lang w:val="fr-FR"/>
        </w:rPr>
        <w:lastRenderedPageBreak/>
        <w:t>Compte de résultat</w:t>
      </w:r>
    </w:p>
    <w:p w14:paraId="5C1351A1" w14:textId="081AEA3F" w:rsidR="006A0F7F" w:rsidRDefault="006A0F7F" w:rsidP="005266BB">
      <w:pPr>
        <w:ind w:firstLine="708"/>
        <w:jc w:val="center"/>
        <w:rPr>
          <w:b/>
          <w:bCs/>
          <w:sz w:val="22"/>
          <w:szCs w:val="22"/>
          <w:lang w:val="fr-FR"/>
        </w:rPr>
      </w:pPr>
      <w:r w:rsidRPr="006A0F7F">
        <w:rPr>
          <w:noProof/>
        </w:rPr>
        <w:drawing>
          <wp:inline distT="0" distB="0" distL="0" distR="0" wp14:anchorId="032E89FB" wp14:editId="035251DB">
            <wp:extent cx="4781550" cy="58420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550" cy="5842000"/>
                    </a:xfrm>
                    <a:prstGeom prst="rect">
                      <a:avLst/>
                    </a:prstGeom>
                    <a:noFill/>
                    <a:ln>
                      <a:noFill/>
                    </a:ln>
                  </pic:spPr>
                </pic:pic>
              </a:graphicData>
            </a:graphic>
          </wp:inline>
        </w:drawing>
      </w:r>
    </w:p>
    <w:p w14:paraId="32A637DE" w14:textId="77777777" w:rsidR="006A0F7F" w:rsidRDefault="006A0F7F">
      <w:pPr>
        <w:spacing w:after="0" w:line="240" w:lineRule="auto"/>
        <w:rPr>
          <w:b/>
          <w:bCs/>
          <w:sz w:val="22"/>
          <w:szCs w:val="22"/>
          <w:lang w:val="fr-FR"/>
        </w:rPr>
      </w:pPr>
      <w:r>
        <w:rPr>
          <w:b/>
          <w:bCs/>
          <w:sz w:val="22"/>
          <w:szCs w:val="22"/>
          <w:lang w:val="fr-FR"/>
        </w:rPr>
        <w:br w:type="page"/>
      </w:r>
    </w:p>
    <w:p w14:paraId="7533A9CD" w14:textId="21A78501" w:rsidR="006A0F7F" w:rsidRDefault="006A0F7F" w:rsidP="006A0F7F">
      <w:pPr>
        <w:ind w:firstLine="708"/>
        <w:rPr>
          <w:b/>
          <w:bCs/>
          <w:sz w:val="22"/>
          <w:szCs w:val="22"/>
          <w:lang w:val="fr-FR"/>
        </w:rPr>
      </w:pPr>
      <w:r>
        <w:rPr>
          <w:b/>
          <w:bCs/>
          <w:sz w:val="22"/>
          <w:szCs w:val="22"/>
          <w:lang w:val="fr-FR"/>
        </w:rPr>
        <w:lastRenderedPageBreak/>
        <w:t>Tableau des flux de trésorerie</w:t>
      </w:r>
    </w:p>
    <w:p w14:paraId="35215831" w14:textId="7A59BF95" w:rsidR="006A0F7F" w:rsidRPr="006A0F7F" w:rsidRDefault="006A0F7F" w:rsidP="005266BB">
      <w:pPr>
        <w:ind w:firstLine="708"/>
        <w:jc w:val="center"/>
        <w:rPr>
          <w:b/>
          <w:bCs/>
          <w:sz w:val="22"/>
          <w:szCs w:val="22"/>
          <w:lang w:val="fr-FR"/>
        </w:rPr>
      </w:pPr>
      <w:r w:rsidRPr="006A0F7F">
        <w:rPr>
          <w:noProof/>
        </w:rPr>
        <w:drawing>
          <wp:inline distT="0" distB="0" distL="0" distR="0" wp14:anchorId="78E5DAA5" wp14:editId="687C0F09">
            <wp:extent cx="5289550" cy="4876800"/>
            <wp:effectExtent l="0" t="0" r="635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9550" cy="4876800"/>
                    </a:xfrm>
                    <a:prstGeom prst="rect">
                      <a:avLst/>
                    </a:prstGeom>
                    <a:noFill/>
                    <a:ln>
                      <a:noFill/>
                    </a:ln>
                  </pic:spPr>
                </pic:pic>
              </a:graphicData>
            </a:graphic>
          </wp:inline>
        </w:drawing>
      </w:r>
    </w:p>
    <w:sectPr w:rsidR="006A0F7F" w:rsidRPr="006A0F7F" w:rsidSect="00C47EE8">
      <w:headerReference w:type="default" r:id="rId14"/>
      <w:footerReference w:type="default" r:id="rId15"/>
      <w:headerReference w:type="first" r:id="rId16"/>
      <w:footerReference w:type="first" r:id="rId17"/>
      <w:pgSz w:w="11906" w:h="16838"/>
      <w:pgMar w:top="1147" w:right="991" w:bottom="1134" w:left="993" w:header="709" w:footer="2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8E0F3" w14:textId="77777777" w:rsidR="008B4699" w:rsidRDefault="008B4699">
      <w:pPr>
        <w:spacing w:after="0" w:line="240" w:lineRule="auto"/>
      </w:pPr>
      <w:r>
        <w:separator/>
      </w:r>
    </w:p>
  </w:endnote>
  <w:endnote w:type="continuationSeparator" w:id="0">
    <w:p w14:paraId="53B5DD29" w14:textId="77777777" w:rsidR="008B4699" w:rsidRDefault="008B4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FKai-SB">
    <w:altName w:val="Microsoft JhengHei Light"/>
    <w:charset w:val="88"/>
    <w:family w:val="script"/>
    <w:pitch w:val="fixed"/>
    <w:sig w:usb0="00000003" w:usb1="080E0000" w:usb2="00000016" w:usb3="00000000" w:csb0="00100001" w:csb1="00000000"/>
  </w:font>
  <w:font w:name="Queens Park">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206A" w14:textId="77777777" w:rsidR="002B3ED4" w:rsidRPr="00C47EE8" w:rsidRDefault="005266BB" w:rsidP="00C47EE8">
    <w:pPr>
      <w:pStyle w:val="Pieddepage"/>
      <w:spacing w:after="0"/>
      <w:jc w:val="center"/>
      <w:rPr>
        <w:rFonts w:ascii="Queens Park" w:hAnsi="Queens Park"/>
        <w:color w:val="7F7F7F"/>
        <w:sz w:val="8"/>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FC384" w14:textId="77777777" w:rsidR="002B3ED4" w:rsidRPr="00C47EE8" w:rsidRDefault="001A7A0C" w:rsidP="00C47EE8">
    <w:pPr>
      <w:pStyle w:val="Pieddepage"/>
      <w:spacing w:after="0"/>
      <w:jc w:val="center"/>
      <w:rPr>
        <w:rFonts w:ascii="Queens Park" w:hAnsi="Queens Park"/>
        <w:color w:val="7F7F7F"/>
        <w:sz w:val="14"/>
        <w:szCs w:val="14"/>
      </w:rPr>
    </w:pPr>
    <w:bookmarkStart w:id="0" w:name="_Hlk515360553"/>
    <w:bookmarkStart w:id="1" w:name="_Hlk515360554"/>
    <w:r w:rsidRPr="00C47EE8">
      <w:rPr>
        <w:rFonts w:ascii="Queens Park" w:hAnsi="Queens Park"/>
        <w:color w:val="7F7F7F"/>
        <w:sz w:val="14"/>
        <w:szCs w:val="14"/>
      </w:rPr>
      <w:t>41 LOTHBURY, LONDON, EC2R 7HG</w:t>
    </w:r>
  </w:p>
  <w:p w14:paraId="05EC60F8" w14:textId="77777777" w:rsidR="002B3ED4" w:rsidRPr="00C47EE8" w:rsidRDefault="001A7A0C" w:rsidP="00C47EE8">
    <w:pPr>
      <w:pStyle w:val="Pieddepage"/>
      <w:spacing w:after="0"/>
      <w:jc w:val="center"/>
      <w:rPr>
        <w:rFonts w:ascii="Queens Park" w:hAnsi="Queens Park"/>
        <w:color w:val="2B2D7C"/>
        <w:sz w:val="14"/>
        <w:szCs w:val="14"/>
      </w:rPr>
    </w:pPr>
    <w:r w:rsidRPr="00C47EE8">
      <w:rPr>
        <w:rFonts w:ascii="Queens Park" w:hAnsi="Queens Park"/>
        <w:b/>
        <w:color w:val="2B2D7C"/>
        <w:sz w:val="14"/>
        <w:szCs w:val="14"/>
      </w:rPr>
      <w:t>T</w:t>
    </w:r>
    <w:r w:rsidRPr="00C47EE8">
      <w:rPr>
        <w:rFonts w:ascii="Queens Park" w:hAnsi="Queens Park"/>
        <w:color w:val="2B2D7C"/>
        <w:sz w:val="14"/>
        <w:szCs w:val="14"/>
      </w:rPr>
      <w:t xml:space="preserve"> +44 (0)20 3709 5700   |   info@consilium-comms.com   |   </w:t>
    </w:r>
    <w:hyperlink r:id="rId1" w:history="1">
      <w:r w:rsidRPr="00C47EE8">
        <w:rPr>
          <w:rStyle w:val="Lienhypertexte"/>
          <w:rFonts w:ascii="Queens Park" w:hAnsi="Queens Park"/>
          <w:sz w:val="14"/>
          <w:szCs w:val="14"/>
        </w:rPr>
        <w:t>www.consilium-comms.com</w:t>
      </w:r>
    </w:hyperlink>
  </w:p>
  <w:p w14:paraId="5850BE8B" w14:textId="77777777" w:rsidR="002B3ED4" w:rsidRPr="00C47EE8" w:rsidRDefault="005266BB" w:rsidP="00C47EE8">
    <w:pPr>
      <w:pStyle w:val="Pieddepage"/>
      <w:spacing w:after="0"/>
      <w:jc w:val="center"/>
      <w:rPr>
        <w:rFonts w:ascii="Queens Park" w:hAnsi="Queens Park"/>
        <w:sz w:val="8"/>
        <w:szCs w:val="14"/>
      </w:rPr>
    </w:pPr>
  </w:p>
  <w:p w14:paraId="2CAABA08" w14:textId="77777777" w:rsidR="002B3ED4" w:rsidRPr="00C47EE8" w:rsidRDefault="001A7A0C" w:rsidP="00C47EE8">
    <w:pPr>
      <w:pStyle w:val="Pieddepage"/>
      <w:spacing w:after="0"/>
      <w:jc w:val="center"/>
      <w:rPr>
        <w:rFonts w:ascii="Queens Park" w:hAnsi="Queens Park"/>
        <w:color w:val="7F7F7F"/>
        <w:sz w:val="8"/>
        <w:szCs w:val="14"/>
      </w:rPr>
    </w:pPr>
    <w:r w:rsidRPr="00C47EE8">
      <w:rPr>
        <w:rFonts w:ascii="Queens Park" w:hAnsi="Queens Park"/>
        <w:color w:val="7F7F7F"/>
        <w:sz w:val="8"/>
        <w:szCs w:val="14"/>
      </w:rPr>
      <w:t>VAT no. 164 146 320   Registered in England no. 08519137</w:t>
    </w:r>
  </w:p>
  <w:p w14:paraId="2CAF8F16" w14:textId="77777777" w:rsidR="002B3ED4" w:rsidRPr="00C47EE8" w:rsidRDefault="001A7A0C" w:rsidP="00C47EE8">
    <w:pPr>
      <w:pStyle w:val="Pieddepage"/>
      <w:spacing w:after="0"/>
      <w:jc w:val="center"/>
      <w:rPr>
        <w:rFonts w:ascii="Queens Park" w:hAnsi="Queens Park"/>
        <w:color w:val="7F7F7F"/>
        <w:sz w:val="8"/>
        <w:szCs w:val="14"/>
      </w:rPr>
    </w:pPr>
    <w:proofErr w:type="spellStart"/>
    <w:r w:rsidRPr="00C47EE8">
      <w:rPr>
        <w:rFonts w:ascii="Queens Park" w:hAnsi="Queens Park"/>
        <w:color w:val="7F7F7F"/>
        <w:sz w:val="8"/>
        <w:szCs w:val="14"/>
      </w:rPr>
      <w:t>Consilium</w:t>
    </w:r>
    <w:proofErr w:type="spellEnd"/>
    <w:r w:rsidRPr="00C47EE8">
      <w:rPr>
        <w:rFonts w:ascii="Queens Park" w:hAnsi="Queens Park"/>
        <w:color w:val="7F7F7F"/>
        <w:sz w:val="8"/>
        <w:szCs w:val="14"/>
      </w:rPr>
      <w:t xml:space="preserve"> Strategic Communications Limited Registered Office: 7 West Street, Epsom, Surrey KT18 7RL</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00F7" w14:textId="77777777" w:rsidR="008B4699" w:rsidRDefault="008B4699">
      <w:pPr>
        <w:spacing w:after="0" w:line="240" w:lineRule="auto"/>
      </w:pPr>
      <w:r>
        <w:separator/>
      </w:r>
    </w:p>
  </w:footnote>
  <w:footnote w:type="continuationSeparator" w:id="0">
    <w:p w14:paraId="6C106231" w14:textId="77777777" w:rsidR="008B4699" w:rsidRDefault="008B46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B870" w14:textId="46E13D9F" w:rsidR="002B3ED4" w:rsidRPr="009831D8" w:rsidRDefault="005266BB" w:rsidP="00AA78E9">
    <w:pPr>
      <w:pStyle w:val="En-tte"/>
      <w:jc w:val="center"/>
      <w:rPr>
        <w:b/>
        <w:bCs/>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F13B" w14:textId="77777777" w:rsidR="002B3ED4" w:rsidRPr="007A6286" w:rsidRDefault="001A7A0C" w:rsidP="007A6286">
    <w:pPr>
      <w:pStyle w:val="En-tte"/>
      <w:spacing w:line="360" w:lineRule="auto"/>
      <w:jc w:val="center"/>
      <w:rPr>
        <w:rFonts w:ascii="Queens Park" w:hAnsi="Queens Park"/>
      </w:rPr>
    </w:pPr>
    <w:r>
      <w:rPr>
        <w:noProof/>
        <w:lang w:eastAsia="en-GB"/>
      </w:rPr>
      <w:drawing>
        <wp:anchor distT="0" distB="0" distL="114300" distR="114300" simplePos="0" relativeHeight="251659264" behindDoc="1" locked="0" layoutInCell="1" allowOverlap="1" wp14:anchorId="37EFC0B1" wp14:editId="03C012F5">
          <wp:simplePos x="0" y="0"/>
          <wp:positionH relativeFrom="column">
            <wp:posOffset>2131060</wp:posOffset>
          </wp:positionH>
          <wp:positionV relativeFrom="paragraph">
            <wp:posOffset>-183515</wp:posOffset>
          </wp:positionV>
          <wp:extent cx="2019300" cy="476250"/>
          <wp:effectExtent l="0" t="0" r="0" b="0"/>
          <wp:wrapTight wrapText="bothSides">
            <wp:wrapPolygon edited="0">
              <wp:start x="0" y="0"/>
              <wp:lineTo x="0" y="20736"/>
              <wp:lineTo x="21396" y="20736"/>
              <wp:lineTo x="21396" y="0"/>
              <wp:lineTo x="0" y="0"/>
            </wp:wrapPolygon>
          </wp:wrapTight>
          <wp:docPr id="12" name="Picture 12" descr="Image result for consilium strategic communicati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consilium strategic communications  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30769" b="33443"/>
                  <a:stretch/>
                </pic:blipFill>
                <pic:spPr bwMode="auto">
                  <a:xfrm>
                    <a:off x="0" y="0"/>
                    <a:ext cx="2019300" cy="476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t xml:space="preserve"> </w:t>
    </w:r>
    <w:r w:rsidRPr="007A6286">
      <w:rPr>
        <w:rFonts w:ascii="Queens Park" w:hAnsi="Queens Park"/>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036"/>
    <w:multiLevelType w:val="hybridMultilevel"/>
    <w:tmpl w:val="F2FAED8E"/>
    <w:lvl w:ilvl="0" w:tplc="2348C7DC">
      <w:start w:val="1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1C278D"/>
    <w:multiLevelType w:val="hybridMultilevel"/>
    <w:tmpl w:val="006EC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170915"/>
    <w:multiLevelType w:val="hybridMultilevel"/>
    <w:tmpl w:val="4BD6E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D14A63"/>
    <w:multiLevelType w:val="hybridMultilevel"/>
    <w:tmpl w:val="52A041D8"/>
    <w:lvl w:ilvl="0" w:tplc="116250B2">
      <w:start w:val="1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AF6C35"/>
    <w:multiLevelType w:val="hybridMultilevel"/>
    <w:tmpl w:val="8CE81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DD2191B"/>
    <w:multiLevelType w:val="hybridMultilevel"/>
    <w:tmpl w:val="87E00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9" w15:restartNumberingAfterBreak="0">
    <w:nsid w:val="61107939"/>
    <w:multiLevelType w:val="hybridMultilevel"/>
    <w:tmpl w:val="80828D76"/>
    <w:lvl w:ilvl="0" w:tplc="040C0001">
      <w:start w:val="1"/>
      <w:numFmt w:val="bullet"/>
      <w:lvlText w:val=""/>
      <w:lvlJc w:val="left"/>
      <w:pPr>
        <w:ind w:left="2356" w:hanging="360"/>
      </w:pPr>
      <w:rPr>
        <w:rFonts w:ascii="Symbol" w:hAnsi="Symbol" w:hint="default"/>
      </w:rPr>
    </w:lvl>
    <w:lvl w:ilvl="1" w:tplc="040C0003" w:tentative="1">
      <w:start w:val="1"/>
      <w:numFmt w:val="bullet"/>
      <w:lvlText w:val="o"/>
      <w:lvlJc w:val="left"/>
      <w:pPr>
        <w:ind w:left="3076" w:hanging="360"/>
      </w:pPr>
      <w:rPr>
        <w:rFonts w:ascii="Courier New" w:hAnsi="Courier New" w:cs="Courier New" w:hint="default"/>
      </w:rPr>
    </w:lvl>
    <w:lvl w:ilvl="2" w:tplc="040C0005" w:tentative="1">
      <w:start w:val="1"/>
      <w:numFmt w:val="bullet"/>
      <w:lvlText w:val=""/>
      <w:lvlJc w:val="left"/>
      <w:pPr>
        <w:ind w:left="3796" w:hanging="360"/>
      </w:pPr>
      <w:rPr>
        <w:rFonts w:ascii="Wingdings" w:hAnsi="Wingdings" w:hint="default"/>
      </w:rPr>
    </w:lvl>
    <w:lvl w:ilvl="3" w:tplc="040C0001" w:tentative="1">
      <w:start w:val="1"/>
      <w:numFmt w:val="bullet"/>
      <w:lvlText w:val=""/>
      <w:lvlJc w:val="left"/>
      <w:pPr>
        <w:ind w:left="4516" w:hanging="360"/>
      </w:pPr>
      <w:rPr>
        <w:rFonts w:ascii="Symbol" w:hAnsi="Symbol" w:hint="default"/>
      </w:rPr>
    </w:lvl>
    <w:lvl w:ilvl="4" w:tplc="040C0003" w:tentative="1">
      <w:start w:val="1"/>
      <w:numFmt w:val="bullet"/>
      <w:lvlText w:val="o"/>
      <w:lvlJc w:val="left"/>
      <w:pPr>
        <w:ind w:left="5236" w:hanging="360"/>
      </w:pPr>
      <w:rPr>
        <w:rFonts w:ascii="Courier New" w:hAnsi="Courier New" w:cs="Courier New" w:hint="default"/>
      </w:rPr>
    </w:lvl>
    <w:lvl w:ilvl="5" w:tplc="040C0005" w:tentative="1">
      <w:start w:val="1"/>
      <w:numFmt w:val="bullet"/>
      <w:lvlText w:val=""/>
      <w:lvlJc w:val="left"/>
      <w:pPr>
        <w:ind w:left="5956" w:hanging="360"/>
      </w:pPr>
      <w:rPr>
        <w:rFonts w:ascii="Wingdings" w:hAnsi="Wingdings" w:hint="default"/>
      </w:rPr>
    </w:lvl>
    <w:lvl w:ilvl="6" w:tplc="040C0001" w:tentative="1">
      <w:start w:val="1"/>
      <w:numFmt w:val="bullet"/>
      <w:lvlText w:val=""/>
      <w:lvlJc w:val="left"/>
      <w:pPr>
        <w:ind w:left="6676" w:hanging="360"/>
      </w:pPr>
      <w:rPr>
        <w:rFonts w:ascii="Symbol" w:hAnsi="Symbol" w:hint="default"/>
      </w:rPr>
    </w:lvl>
    <w:lvl w:ilvl="7" w:tplc="040C0003" w:tentative="1">
      <w:start w:val="1"/>
      <w:numFmt w:val="bullet"/>
      <w:lvlText w:val="o"/>
      <w:lvlJc w:val="left"/>
      <w:pPr>
        <w:ind w:left="7396" w:hanging="360"/>
      </w:pPr>
      <w:rPr>
        <w:rFonts w:ascii="Courier New" w:hAnsi="Courier New" w:cs="Courier New" w:hint="default"/>
      </w:rPr>
    </w:lvl>
    <w:lvl w:ilvl="8" w:tplc="040C0005" w:tentative="1">
      <w:start w:val="1"/>
      <w:numFmt w:val="bullet"/>
      <w:lvlText w:val=""/>
      <w:lvlJc w:val="left"/>
      <w:pPr>
        <w:ind w:left="8116" w:hanging="360"/>
      </w:pPr>
      <w:rPr>
        <w:rFonts w:ascii="Wingdings" w:hAnsi="Wingdings" w:hint="default"/>
      </w:rPr>
    </w:lvl>
  </w:abstractNum>
  <w:abstractNum w:abstractNumId="10" w15:restartNumberingAfterBreak="0">
    <w:nsid w:val="66A64468"/>
    <w:multiLevelType w:val="hybridMultilevel"/>
    <w:tmpl w:val="7DFEF368"/>
    <w:lvl w:ilvl="0" w:tplc="4CACFB26">
      <w:start w:val="1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4499324">
    <w:abstractNumId w:val="7"/>
  </w:num>
  <w:num w:numId="2" w16cid:durableId="1218518649">
    <w:abstractNumId w:val="5"/>
  </w:num>
  <w:num w:numId="3" w16cid:durableId="759643602">
    <w:abstractNumId w:val="3"/>
  </w:num>
  <w:num w:numId="4" w16cid:durableId="286131189">
    <w:abstractNumId w:val="8"/>
  </w:num>
  <w:num w:numId="5" w16cid:durableId="1001588135">
    <w:abstractNumId w:val="6"/>
  </w:num>
  <w:num w:numId="6" w16cid:durableId="1735081609">
    <w:abstractNumId w:val="1"/>
  </w:num>
  <w:num w:numId="7" w16cid:durableId="1891110556">
    <w:abstractNumId w:val="9"/>
  </w:num>
  <w:num w:numId="8" w16cid:durableId="1308320496">
    <w:abstractNumId w:val="0"/>
  </w:num>
  <w:num w:numId="9" w16cid:durableId="1664311907">
    <w:abstractNumId w:val="2"/>
  </w:num>
  <w:num w:numId="10" w16cid:durableId="1152523832">
    <w:abstractNumId w:val="4"/>
  </w:num>
  <w:num w:numId="11" w16cid:durableId="4793464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D8B"/>
    <w:rsid w:val="00016CFF"/>
    <w:rsid w:val="00017145"/>
    <w:rsid w:val="00017F38"/>
    <w:rsid w:val="0002036C"/>
    <w:rsid w:val="000342A1"/>
    <w:rsid w:val="00034C19"/>
    <w:rsid w:val="00037234"/>
    <w:rsid w:val="00037BC3"/>
    <w:rsid w:val="00044EED"/>
    <w:rsid w:val="000768C9"/>
    <w:rsid w:val="000831C9"/>
    <w:rsid w:val="000920B1"/>
    <w:rsid w:val="000948BF"/>
    <w:rsid w:val="000A1D92"/>
    <w:rsid w:val="000A2AE1"/>
    <w:rsid w:val="000A5895"/>
    <w:rsid w:val="000A6CA9"/>
    <w:rsid w:val="000B0B1D"/>
    <w:rsid w:val="000B0C02"/>
    <w:rsid w:val="000C01BE"/>
    <w:rsid w:val="000C20E8"/>
    <w:rsid w:val="000C3977"/>
    <w:rsid w:val="000D6F7A"/>
    <w:rsid w:val="000D7813"/>
    <w:rsid w:val="000F3636"/>
    <w:rsid w:val="000F733B"/>
    <w:rsid w:val="001044D9"/>
    <w:rsid w:val="00105266"/>
    <w:rsid w:val="00123C1C"/>
    <w:rsid w:val="00133217"/>
    <w:rsid w:val="001349A6"/>
    <w:rsid w:val="001375E7"/>
    <w:rsid w:val="001446C7"/>
    <w:rsid w:val="001548C6"/>
    <w:rsid w:val="00157B13"/>
    <w:rsid w:val="00162965"/>
    <w:rsid w:val="0016464C"/>
    <w:rsid w:val="00165A18"/>
    <w:rsid w:val="00173D3D"/>
    <w:rsid w:val="00176360"/>
    <w:rsid w:val="0018259C"/>
    <w:rsid w:val="00184FF4"/>
    <w:rsid w:val="001957AE"/>
    <w:rsid w:val="001A4770"/>
    <w:rsid w:val="001A7A0C"/>
    <w:rsid w:val="001B05EB"/>
    <w:rsid w:val="001C058F"/>
    <w:rsid w:val="001C49AB"/>
    <w:rsid w:val="001E1A8A"/>
    <w:rsid w:val="001E29A8"/>
    <w:rsid w:val="001E6D55"/>
    <w:rsid w:val="001F1E47"/>
    <w:rsid w:val="001F72F9"/>
    <w:rsid w:val="001F7EA1"/>
    <w:rsid w:val="002048A9"/>
    <w:rsid w:val="0020520C"/>
    <w:rsid w:val="00205217"/>
    <w:rsid w:val="002063AB"/>
    <w:rsid w:val="0021253D"/>
    <w:rsid w:val="00224256"/>
    <w:rsid w:val="002246F4"/>
    <w:rsid w:val="0022789D"/>
    <w:rsid w:val="00230870"/>
    <w:rsid w:val="0023692E"/>
    <w:rsid w:val="00240A3F"/>
    <w:rsid w:val="00246323"/>
    <w:rsid w:val="002466DD"/>
    <w:rsid w:val="00256B15"/>
    <w:rsid w:val="00256CEB"/>
    <w:rsid w:val="0025783E"/>
    <w:rsid w:val="002718D3"/>
    <w:rsid w:val="0028125C"/>
    <w:rsid w:val="002822BC"/>
    <w:rsid w:val="002823EB"/>
    <w:rsid w:val="0028492B"/>
    <w:rsid w:val="002A30E4"/>
    <w:rsid w:val="002A517C"/>
    <w:rsid w:val="002B3CF7"/>
    <w:rsid w:val="002B452C"/>
    <w:rsid w:val="002C11AE"/>
    <w:rsid w:val="002C11DC"/>
    <w:rsid w:val="002C3C3E"/>
    <w:rsid w:val="002D40FB"/>
    <w:rsid w:val="002D6402"/>
    <w:rsid w:val="002D6843"/>
    <w:rsid w:val="002E1E9C"/>
    <w:rsid w:val="00311D8B"/>
    <w:rsid w:val="003135A8"/>
    <w:rsid w:val="0031417A"/>
    <w:rsid w:val="00316948"/>
    <w:rsid w:val="0031739D"/>
    <w:rsid w:val="003329BC"/>
    <w:rsid w:val="00334E61"/>
    <w:rsid w:val="0034379D"/>
    <w:rsid w:val="00347367"/>
    <w:rsid w:val="00350426"/>
    <w:rsid w:val="003557AE"/>
    <w:rsid w:val="003574E5"/>
    <w:rsid w:val="00376B05"/>
    <w:rsid w:val="00381301"/>
    <w:rsid w:val="00395504"/>
    <w:rsid w:val="00395B51"/>
    <w:rsid w:val="003A3E42"/>
    <w:rsid w:val="003A40ED"/>
    <w:rsid w:val="003B4B91"/>
    <w:rsid w:val="003C2BD9"/>
    <w:rsid w:val="003E389F"/>
    <w:rsid w:val="003E5B86"/>
    <w:rsid w:val="003F1187"/>
    <w:rsid w:val="003F4C3C"/>
    <w:rsid w:val="003F4DB2"/>
    <w:rsid w:val="003F5A4D"/>
    <w:rsid w:val="003F7A0E"/>
    <w:rsid w:val="004012CD"/>
    <w:rsid w:val="00425708"/>
    <w:rsid w:val="00434AB2"/>
    <w:rsid w:val="004470D3"/>
    <w:rsid w:val="00456353"/>
    <w:rsid w:val="004565AC"/>
    <w:rsid w:val="00467785"/>
    <w:rsid w:val="00467A94"/>
    <w:rsid w:val="00476650"/>
    <w:rsid w:val="00484574"/>
    <w:rsid w:val="004A2440"/>
    <w:rsid w:val="004C38F3"/>
    <w:rsid w:val="004F3770"/>
    <w:rsid w:val="004F6933"/>
    <w:rsid w:val="00501ED0"/>
    <w:rsid w:val="00507A9E"/>
    <w:rsid w:val="00511FD1"/>
    <w:rsid w:val="0052089A"/>
    <w:rsid w:val="00522067"/>
    <w:rsid w:val="005266BB"/>
    <w:rsid w:val="00534D98"/>
    <w:rsid w:val="00540092"/>
    <w:rsid w:val="00543E89"/>
    <w:rsid w:val="00550DE9"/>
    <w:rsid w:val="00552B50"/>
    <w:rsid w:val="005530BB"/>
    <w:rsid w:val="00560995"/>
    <w:rsid w:val="005920A0"/>
    <w:rsid w:val="005A36F2"/>
    <w:rsid w:val="005B6D12"/>
    <w:rsid w:val="005C249E"/>
    <w:rsid w:val="005C300D"/>
    <w:rsid w:val="005C3848"/>
    <w:rsid w:val="005C5EB4"/>
    <w:rsid w:val="005D1811"/>
    <w:rsid w:val="005E0E9D"/>
    <w:rsid w:val="005E235A"/>
    <w:rsid w:val="005F0C8E"/>
    <w:rsid w:val="005F252A"/>
    <w:rsid w:val="005F54BE"/>
    <w:rsid w:val="00606E97"/>
    <w:rsid w:val="00607AA8"/>
    <w:rsid w:val="00617793"/>
    <w:rsid w:val="00636381"/>
    <w:rsid w:val="00642605"/>
    <w:rsid w:val="0064477D"/>
    <w:rsid w:val="006558FB"/>
    <w:rsid w:val="00664694"/>
    <w:rsid w:val="006704CF"/>
    <w:rsid w:val="0067393E"/>
    <w:rsid w:val="00675074"/>
    <w:rsid w:val="0067704C"/>
    <w:rsid w:val="00690D12"/>
    <w:rsid w:val="00694CB3"/>
    <w:rsid w:val="006A0F7F"/>
    <w:rsid w:val="006A10C9"/>
    <w:rsid w:val="006A5DFB"/>
    <w:rsid w:val="006B3A8F"/>
    <w:rsid w:val="006C22AF"/>
    <w:rsid w:val="006C35A3"/>
    <w:rsid w:val="006D02C2"/>
    <w:rsid w:val="006D1444"/>
    <w:rsid w:val="006E0BDF"/>
    <w:rsid w:val="006F1716"/>
    <w:rsid w:val="006F2143"/>
    <w:rsid w:val="006F5B52"/>
    <w:rsid w:val="00704D6B"/>
    <w:rsid w:val="0071022C"/>
    <w:rsid w:val="00734537"/>
    <w:rsid w:val="007514E2"/>
    <w:rsid w:val="00757266"/>
    <w:rsid w:val="007623DE"/>
    <w:rsid w:val="0076387F"/>
    <w:rsid w:val="00766B9F"/>
    <w:rsid w:val="0077043F"/>
    <w:rsid w:val="00771348"/>
    <w:rsid w:val="007756CE"/>
    <w:rsid w:val="007828E8"/>
    <w:rsid w:val="007A11C8"/>
    <w:rsid w:val="007A1941"/>
    <w:rsid w:val="007A31AE"/>
    <w:rsid w:val="007B2884"/>
    <w:rsid w:val="007C52A5"/>
    <w:rsid w:val="007D128A"/>
    <w:rsid w:val="007D6F56"/>
    <w:rsid w:val="007F1FAE"/>
    <w:rsid w:val="007F31B6"/>
    <w:rsid w:val="00823D19"/>
    <w:rsid w:val="00827E88"/>
    <w:rsid w:val="00831725"/>
    <w:rsid w:val="00834E3E"/>
    <w:rsid w:val="00841499"/>
    <w:rsid w:val="008421C6"/>
    <w:rsid w:val="00842BB5"/>
    <w:rsid w:val="00850C50"/>
    <w:rsid w:val="00852050"/>
    <w:rsid w:val="00852AAE"/>
    <w:rsid w:val="00854686"/>
    <w:rsid w:val="00855661"/>
    <w:rsid w:val="0086169E"/>
    <w:rsid w:val="00865B3F"/>
    <w:rsid w:val="00883378"/>
    <w:rsid w:val="008904CA"/>
    <w:rsid w:val="008969B9"/>
    <w:rsid w:val="008B4699"/>
    <w:rsid w:val="008F27FA"/>
    <w:rsid w:val="0090411F"/>
    <w:rsid w:val="0090536C"/>
    <w:rsid w:val="00912AF4"/>
    <w:rsid w:val="00923B34"/>
    <w:rsid w:val="00931BC4"/>
    <w:rsid w:val="00932E56"/>
    <w:rsid w:val="00937B68"/>
    <w:rsid w:val="0094508B"/>
    <w:rsid w:val="0094545E"/>
    <w:rsid w:val="00945A18"/>
    <w:rsid w:val="00954640"/>
    <w:rsid w:val="00961D5B"/>
    <w:rsid w:val="00974A97"/>
    <w:rsid w:val="009831D8"/>
    <w:rsid w:val="00985344"/>
    <w:rsid w:val="00993031"/>
    <w:rsid w:val="00994B54"/>
    <w:rsid w:val="00995B7A"/>
    <w:rsid w:val="009B6218"/>
    <w:rsid w:val="009B6932"/>
    <w:rsid w:val="009C0C0C"/>
    <w:rsid w:val="009D431C"/>
    <w:rsid w:val="009D73A3"/>
    <w:rsid w:val="009E44FC"/>
    <w:rsid w:val="009E4C1A"/>
    <w:rsid w:val="009E6841"/>
    <w:rsid w:val="009F0CCC"/>
    <w:rsid w:val="00A0575F"/>
    <w:rsid w:val="00A322EC"/>
    <w:rsid w:val="00A41910"/>
    <w:rsid w:val="00A421B7"/>
    <w:rsid w:val="00A55BB8"/>
    <w:rsid w:val="00A575DD"/>
    <w:rsid w:val="00A67A1E"/>
    <w:rsid w:val="00A90CF7"/>
    <w:rsid w:val="00AB7268"/>
    <w:rsid w:val="00AD6F18"/>
    <w:rsid w:val="00AD71FF"/>
    <w:rsid w:val="00AE4FEB"/>
    <w:rsid w:val="00AF3690"/>
    <w:rsid w:val="00AF40A1"/>
    <w:rsid w:val="00B00A6F"/>
    <w:rsid w:val="00B07CDD"/>
    <w:rsid w:val="00B11EF9"/>
    <w:rsid w:val="00B12264"/>
    <w:rsid w:val="00B13BDD"/>
    <w:rsid w:val="00B21CAE"/>
    <w:rsid w:val="00B33436"/>
    <w:rsid w:val="00B3737C"/>
    <w:rsid w:val="00B425B5"/>
    <w:rsid w:val="00B51BA4"/>
    <w:rsid w:val="00B6304A"/>
    <w:rsid w:val="00B71189"/>
    <w:rsid w:val="00B765AF"/>
    <w:rsid w:val="00B9313A"/>
    <w:rsid w:val="00BA1DA6"/>
    <w:rsid w:val="00BB6090"/>
    <w:rsid w:val="00BC2C76"/>
    <w:rsid w:val="00BD60D6"/>
    <w:rsid w:val="00BD654C"/>
    <w:rsid w:val="00BD7024"/>
    <w:rsid w:val="00BE53DD"/>
    <w:rsid w:val="00BE68FF"/>
    <w:rsid w:val="00BE7064"/>
    <w:rsid w:val="00C0248E"/>
    <w:rsid w:val="00C144B5"/>
    <w:rsid w:val="00C21DEB"/>
    <w:rsid w:val="00C353E4"/>
    <w:rsid w:val="00C403A3"/>
    <w:rsid w:val="00C40D4F"/>
    <w:rsid w:val="00C4449C"/>
    <w:rsid w:val="00C45037"/>
    <w:rsid w:val="00C46467"/>
    <w:rsid w:val="00C467AA"/>
    <w:rsid w:val="00C60005"/>
    <w:rsid w:val="00C71B61"/>
    <w:rsid w:val="00C723DB"/>
    <w:rsid w:val="00C750F8"/>
    <w:rsid w:val="00C77277"/>
    <w:rsid w:val="00C82EB8"/>
    <w:rsid w:val="00C84D76"/>
    <w:rsid w:val="00C96C5C"/>
    <w:rsid w:val="00C977FE"/>
    <w:rsid w:val="00CA2356"/>
    <w:rsid w:val="00CA4B5A"/>
    <w:rsid w:val="00CA5865"/>
    <w:rsid w:val="00CA6AD0"/>
    <w:rsid w:val="00CA7190"/>
    <w:rsid w:val="00CA7947"/>
    <w:rsid w:val="00CC0F1C"/>
    <w:rsid w:val="00CC14B7"/>
    <w:rsid w:val="00CC298C"/>
    <w:rsid w:val="00CC7290"/>
    <w:rsid w:val="00CC77D6"/>
    <w:rsid w:val="00CD7C23"/>
    <w:rsid w:val="00CF429C"/>
    <w:rsid w:val="00CF4E65"/>
    <w:rsid w:val="00D026B6"/>
    <w:rsid w:val="00D0781D"/>
    <w:rsid w:val="00D122EB"/>
    <w:rsid w:val="00D124EE"/>
    <w:rsid w:val="00D134BE"/>
    <w:rsid w:val="00D14A6D"/>
    <w:rsid w:val="00D317BA"/>
    <w:rsid w:val="00D33A1D"/>
    <w:rsid w:val="00D558CD"/>
    <w:rsid w:val="00D64413"/>
    <w:rsid w:val="00D80AD1"/>
    <w:rsid w:val="00D823F2"/>
    <w:rsid w:val="00D847D4"/>
    <w:rsid w:val="00D94F11"/>
    <w:rsid w:val="00DA0710"/>
    <w:rsid w:val="00DA09DC"/>
    <w:rsid w:val="00DA4EE8"/>
    <w:rsid w:val="00DC15E8"/>
    <w:rsid w:val="00DD0283"/>
    <w:rsid w:val="00DE6A22"/>
    <w:rsid w:val="00DE6DFC"/>
    <w:rsid w:val="00E04D5B"/>
    <w:rsid w:val="00E14231"/>
    <w:rsid w:val="00E14D37"/>
    <w:rsid w:val="00E337D5"/>
    <w:rsid w:val="00E554DA"/>
    <w:rsid w:val="00E565D0"/>
    <w:rsid w:val="00E70E02"/>
    <w:rsid w:val="00E77253"/>
    <w:rsid w:val="00E83CC0"/>
    <w:rsid w:val="00E877EC"/>
    <w:rsid w:val="00E9497E"/>
    <w:rsid w:val="00E97EF3"/>
    <w:rsid w:val="00EB4B9D"/>
    <w:rsid w:val="00EC6C74"/>
    <w:rsid w:val="00ED3542"/>
    <w:rsid w:val="00ED7044"/>
    <w:rsid w:val="00EE50CF"/>
    <w:rsid w:val="00EE73A3"/>
    <w:rsid w:val="00EF08C6"/>
    <w:rsid w:val="00EF3270"/>
    <w:rsid w:val="00EF466D"/>
    <w:rsid w:val="00F26CE5"/>
    <w:rsid w:val="00F62C51"/>
    <w:rsid w:val="00F6635D"/>
    <w:rsid w:val="00F85300"/>
    <w:rsid w:val="00F97BE4"/>
    <w:rsid w:val="00FA4273"/>
    <w:rsid w:val="00FC1ED1"/>
    <w:rsid w:val="00FC7A9A"/>
    <w:rsid w:val="00FD060B"/>
    <w:rsid w:val="00FD31B9"/>
    <w:rsid w:val="00FD57E1"/>
    <w:rsid w:val="00FE20AF"/>
    <w:rsid w:val="00FE5201"/>
    <w:rsid w:val="00FF57E1"/>
    <w:rsid w:val="00FF6C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2D87C"/>
  <w15:chartTrackingRefBased/>
  <w15:docId w15:val="{FBEFEF87-A36C-D540-AD0F-3E52C5149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SC Normal"/>
    <w:qFormat/>
    <w:rsid w:val="00311D8B"/>
    <w:pPr>
      <w:spacing w:after="120" w:line="264" w:lineRule="auto"/>
    </w:pPr>
    <w:rPr>
      <w:rFonts w:eastAsiaTheme="minorEastAsia"/>
      <w:sz w:val="20"/>
      <w:szCs w:val="20"/>
      <w:lang w:val="en-GB"/>
    </w:rPr>
  </w:style>
  <w:style w:type="paragraph" w:styleId="Titre1">
    <w:name w:val="heading 1"/>
    <w:basedOn w:val="Normal"/>
    <w:next w:val="Normal"/>
    <w:link w:val="Titre1Car"/>
    <w:uiPriority w:val="9"/>
    <w:qFormat/>
    <w:rsid w:val="00694CB3"/>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11D8B"/>
    <w:pPr>
      <w:tabs>
        <w:tab w:val="center" w:pos="4513"/>
        <w:tab w:val="right" w:pos="9026"/>
      </w:tabs>
      <w:spacing w:line="240" w:lineRule="auto"/>
    </w:pPr>
  </w:style>
  <w:style w:type="character" w:customStyle="1" w:styleId="En-tteCar">
    <w:name w:val="En-tête Car"/>
    <w:basedOn w:val="Policepardfaut"/>
    <w:link w:val="En-tte"/>
    <w:uiPriority w:val="99"/>
    <w:rsid w:val="00311D8B"/>
    <w:rPr>
      <w:rFonts w:eastAsiaTheme="minorEastAsia"/>
      <w:sz w:val="20"/>
      <w:szCs w:val="20"/>
      <w:lang w:val="en-GB"/>
    </w:rPr>
  </w:style>
  <w:style w:type="paragraph" w:styleId="Pieddepage">
    <w:name w:val="footer"/>
    <w:basedOn w:val="Normal"/>
    <w:link w:val="PieddepageCar"/>
    <w:uiPriority w:val="99"/>
    <w:unhideWhenUsed/>
    <w:rsid w:val="00311D8B"/>
    <w:pPr>
      <w:tabs>
        <w:tab w:val="center" w:pos="4513"/>
        <w:tab w:val="right" w:pos="9026"/>
      </w:tabs>
      <w:spacing w:line="240" w:lineRule="auto"/>
    </w:pPr>
  </w:style>
  <w:style w:type="character" w:customStyle="1" w:styleId="PieddepageCar">
    <w:name w:val="Pied de page Car"/>
    <w:basedOn w:val="Policepardfaut"/>
    <w:link w:val="Pieddepage"/>
    <w:uiPriority w:val="99"/>
    <w:rsid w:val="00311D8B"/>
    <w:rPr>
      <w:rFonts w:eastAsiaTheme="minorEastAsia"/>
      <w:sz w:val="20"/>
      <w:szCs w:val="20"/>
      <w:lang w:val="en-GB"/>
    </w:rPr>
  </w:style>
  <w:style w:type="character" w:styleId="Lienhypertexte">
    <w:name w:val="Hyperlink"/>
    <w:basedOn w:val="Policepardfaut"/>
    <w:uiPriority w:val="99"/>
    <w:unhideWhenUsed/>
    <w:rsid w:val="00311D8B"/>
    <w:rPr>
      <w:color w:val="0563C1" w:themeColor="hyperlink"/>
      <w:u w:val="single"/>
    </w:rPr>
  </w:style>
  <w:style w:type="paragraph" w:styleId="Paragraphedeliste">
    <w:name w:val="List Paragraph"/>
    <w:aliases w:val="ANNEXE"/>
    <w:basedOn w:val="Normal"/>
    <w:link w:val="ParagraphedelisteCar"/>
    <w:uiPriority w:val="34"/>
    <w:qFormat/>
    <w:rsid w:val="00311D8B"/>
    <w:pPr>
      <w:ind w:left="720"/>
      <w:contextualSpacing/>
    </w:pPr>
  </w:style>
  <w:style w:type="character" w:customStyle="1" w:styleId="relationsociete">
    <w:name w:val="relation_societe"/>
    <w:basedOn w:val="Policepardfaut"/>
    <w:rsid w:val="00311D8B"/>
  </w:style>
  <w:style w:type="character" w:customStyle="1" w:styleId="relationnom">
    <w:name w:val="relation_nom"/>
    <w:basedOn w:val="Policepardfaut"/>
    <w:rsid w:val="00311D8B"/>
  </w:style>
  <w:style w:type="paragraph" w:styleId="NormalWeb">
    <w:name w:val="Normal (Web)"/>
    <w:basedOn w:val="Normal"/>
    <w:uiPriority w:val="99"/>
    <w:unhideWhenUsed/>
    <w:rsid w:val="005C3848"/>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Mentionnonrsolue">
    <w:name w:val="Unresolved Mention"/>
    <w:basedOn w:val="Policepardfaut"/>
    <w:uiPriority w:val="99"/>
    <w:semiHidden/>
    <w:unhideWhenUsed/>
    <w:rsid w:val="002823EB"/>
    <w:rPr>
      <w:color w:val="605E5C"/>
      <w:shd w:val="clear" w:color="auto" w:fill="E1DFDD"/>
    </w:rPr>
  </w:style>
  <w:style w:type="character" w:styleId="Marquedecommentaire">
    <w:name w:val="annotation reference"/>
    <w:basedOn w:val="Policepardfaut"/>
    <w:uiPriority w:val="99"/>
    <w:unhideWhenUsed/>
    <w:rsid w:val="00923B34"/>
    <w:rPr>
      <w:sz w:val="16"/>
      <w:szCs w:val="16"/>
    </w:rPr>
  </w:style>
  <w:style w:type="paragraph" w:styleId="Commentaire">
    <w:name w:val="annotation text"/>
    <w:basedOn w:val="Normal"/>
    <w:link w:val="CommentaireCar"/>
    <w:unhideWhenUsed/>
    <w:rsid w:val="00923B34"/>
    <w:pPr>
      <w:spacing w:line="240" w:lineRule="auto"/>
    </w:pPr>
  </w:style>
  <w:style w:type="character" w:customStyle="1" w:styleId="CommentaireCar">
    <w:name w:val="Commentaire Car"/>
    <w:basedOn w:val="Policepardfaut"/>
    <w:link w:val="Commentaire"/>
    <w:rsid w:val="00923B34"/>
    <w:rPr>
      <w:rFonts w:eastAsiaTheme="minorEastAsia"/>
      <w:sz w:val="20"/>
      <w:szCs w:val="20"/>
      <w:lang w:val="en-GB"/>
    </w:rPr>
  </w:style>
  <w:style w:type="paragraph" w:styleId="Objetducommentaire">
    <w:name w:val="annotation subject"/>
    <w:basedOn w:val="Commentaire"/>
    <w:next w:val="Commentaire"/>
    <w:link w:val="ObjetducommentaireCar"/>
    <w:uiPriority w:val="99"/>
    <w:semiHidden/>
    <w:unhideWhenUsed/>
    <w:rsid w:val="00923B34"/>
    <w:rPr>
      <w:b/>
      <w:bCs/>
    </w:rPr>
  </w:style>
  <w:style w:type="character" w:customStyle="1" w:styleId="ObjetducommentaireCar">
    <w:name w:val="Objet du commentaire Car"/>
    <w:basedOn w:val="CommentaireCar"/>
    <w:link w:val="Objetducommentaire"/>
    <w:uiPriority w:val="99"/>
    <w:semiHidden/>
    <w:rsid w:val="00923B34"/>
    <w:rPr>
      <w:rFonts w:eastAsiaTheme="minorEastAsia"/>
      <w:b/>
      <w:bCs/>
      <w:sz w:val="20"/>
      <w:szCs w:val="20"/>
      <w:lang w:val="en-GB"/>
    </w:rPr>
  </w:style>
  <w:style w:type="character" w:customStyle="1" w:styleId="Titre1Car">
    <w:name w:val="Titre 1 Car"/>
    <w:basedOn w:val="Policepardfaut"/>
    <w:link w:val="Titre1"/>
    <w:uiPriority w:val="9"/>
    <w:rsid w:val="00694CB3"/>
    <w:rPr>
      <w:rFonts w:asciiTheme="majorHAnsi" w:eastAsiaTheme="majorEastAsia" w:hAnsiTheme="majorHAnsi" w:cstheme="majorBidi"/>
      <w:b/>
      <w:bCs/>
      <w:color w:val="2F5496" w:themeColor="accent1" w:themeShade="BF"/>
      <w:sz w:val="28"/>
      <w:szCs w:val="28"/>
    </w:rPr>
  </w:style>
  <w:style w:type="paragraph" w:styleId="Retraitcorpsdetexte">
    <w:name w:val="Body Text Indent"/>
    <w:basedOn w:val="Normal"/>
    <w:link w:val="RetraitcorpsdetexteCar"/>
    <w:uiPriority w:val="99"/>
    <w:semiHidden/>
    <w:unhideWhenUsed/>
    <w:rsid w:val="00694CB3"/>
    <w:pPr>
      <w:ind w:left="283"/>
    </w:pPr>
  </w:style>
  <w:style w:type="character" w:customStyle="1" w:styleId="RetraitcorpsdetexteCar">
    <w:name w:val="Retrait corps de texte Car"/>
    <w:basedOn w:val="Policepardfaut"/>
    <w:link w:val="Retraitcorpsdetexte"/>
    <w:uiPriority w:val="99"/>
    <w:semiHidden/>
    <w:rsid w:val="00694CB3"/>
    <w:rPr>
      <w:rFonts w:eastAsiaTheme="minorEastAsia"/>
      <w:sz w:val="20"/>
      <w:szCs w:val="20"/>
      <w:lang w:val="en-GB"/>
    </w:rPr>
  </w:style>
  <w:style w:type="paragraph" w:styleId="Retraitcorpset1relig">
    <w:name w:val="Body Text First Indent 2"/>
    <w:basedOn w:val="Retraitcorpsdetexte"/>
    <w:link w:val="Retraitcorpset1religCar"/>
    <w:uiPriority w:val="99"/>
    <w:unhideWhenUsed/>
    <w:rsid w:val="00694CB3"/>
    <w:pPr>
      <w:spacing w:after="200" w:line="276" w:lineRule="auto"/>
      <w:ind w:left="360" w:firstLine="360"/>
    </w:pPr>
    <w:rPr>
      <w:rFonts w:eastAsiaTheme="minorHAnsi"/>
      <w:sz w:val="22"/>
      <w:szCs w:val="22"/>
      <w:lang w:val="fr-FR"/>
    </w:rPr>
  </w:style>
  <w:style w:type="character" w:customStyle="1" w:styleId="Retraitcorpset1religCar">
    <w:name w:val="Retrait corps et 1re lig. Car"/>
    <w:basedOn w:val="RetraitcorpsdetexteCar"/>
    <w:link w:val="Retraitcorpset1relig"/>
    <w:uiPriority w:val="99"/>
    <w:rsid w:val="00694CB3"/>
    <w:rPr>
      <w:rFonts w:eastAsiaTheme="minorEastAsia"/>
      <w:sz w:val="22"/>
      <w:szCs w:val="22"/>
      <w:lang w:val="en-GB"/>
    </w:rPr>
  </w:style>
  <w:style w:type="table" w:styleId="Grilledutableau">
    <w:name w:val="Table Grid"/>
    <w:basedOn w:val="TableauNormal"/>
    <w:uiPriority w:val="39"/>
    <w:rsid w:val="00550D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2-Accentuation1">
    <w:name w:val="Grid Table 2 Accent 1"/>
    <w:basedOn w:val="TableauNormal"/>
    <w:uiPriority w:val="47"/>
    <w:rsid w:val="00550DE9"/>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1">
    <w:name w:val="Grid Table 4 Accent 1"/>
    <w:basedOn w:val="TableauNormal"/>
    <w:uiPriority w:val="49"/>
    <w:rsid w:val="00550DE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vision">
    <w:name w:val="Revision"/>
    <w:hidden/>
    <w:uiPriority w:val="99"/>
    <w:semiHidden/>
    <w:rsid w:val="00C21DEB"/>
    <w:rPr>
      <w:rFonts w:eastAsiaTheme="minorEastAsia"/>
      <w:sz w:val="20"/>
      <w:szCs w:val="20"/>
      <w:lang w:val="en-GB"/>
    </w:rPr>
  </w:style>
  <w:style w:type="character" w:customStyle="1" w:styleId="cf01">
    <w:name w:val="cf01"/>
    <w:basedOn w:val="Policepardfaut"/>
    <w:rsid w:val="00BE68FF"/>
    <w:rPr>
      <w:rFonts w:ascii="Segoe UI" w:hAnsi="Segoe UI" w:cs="Segoe UI" w:hint="default"/>
      <w:sz w:val="18"/>
      <w:szCs w:val="18"/>
    </w:rPr>
  </w:style>
  <w:style w:type="character" w:customStyle="1" w:styleId="cf11">
    <w:name w:val="cf11"/>
    <w:basedOn w:val="Policepardfaut"/>
    <w:rsid w:val="002822BC"/>
    <w:rPr>
      <w:rFonts w:ascii="Segoe UI" w:hAnsi="Segoe UI" w:cs="Segoe UI" w:hint="default"/>
      <w:sz w:val="18"/>
      <w:szCs w:val="18"/>
    </w:rPr>
  </w:style>
  <w:style w:type="paragraph" w:styleId="Textedebulles">
    <w:name w:val="Balloon Text"/>
    <w:basedOn w:val="Normal"/>
    <w:link w:val="TextedebullesCar"/>
    <w:uiPriority w:val="99"/>
    <w:semiHidden/>
    <w:unhideWhenUsed/>
    <w:rsid w:val="003329B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329BC"/>
    <w:rPr>
      <w:rFonts w:ascii="Segoe UI" w:eastAsiaTheme="minorEastAsia" w:hAnsi="Segoe UI" w:cs="Segoe UI"/>
      <w:sz w:val="18"/>
      <w:szCs w:val="18"/>
      <w:lang w:val="en-GB"/>
    </w:rPr>
  </w:style>
  <w:style w:type="character" w:customStyle="1" w:styleId="ParagraphedelisteCar">
    <w:name w:val="Paragraphe de liste Car"/>
    <w:aliases w:val="ANNEXE Car"/>
    <w:basedOn w:val="Policepardfaut"/>
    <w:link w:val="Paragraphedeliste"/>
    <w:uiPriority w:val="34"/>
    <w:locked/>
    <w:rsid w:val="00173D3D"/>
    <w:rPr>
      <w:rFonts w:eastAsiaTheme="minorEastAsia"/>
      <w:sz w:val="20"/>
      <w:szCs w:val="20"/>
      <w:lang w:val="en-GB"/>
    </w:rPr>
  </w:style>
  <w:style w:type="character" w:styleId="Appelnotedebasdep">
    <w:name w:val="footnote reference"/>
    <w:basedOn w:val="Policepardfaut"/>
    <w:uiPriority w:val="99"/>
    <w:semiHidden/>
    <w:unhideWhenUsed/>
    <w:rsid w:val="00173D3D"/>
    <w:rPr>
      <w:vertAlign w:val="superscript"/>
    </w:rPr>
  </w:style>
  <w:style w:type="character" w:customStyle="1" w:styleId="apple-converted-space">
    <w:name w:val="apple-converted-space"/>
    <w:basedOn w:val="Policepardfaut"/>
    <w:rsid w:val="00173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4269">
      <w:bodyDiv w:val="1"/>
      <w:marLeft w:val="0"/>
      <w:marRight w:val="0"/>
      <w:marTop w:val="0"/>
      <w:marBottom w:val="0"/>
      <w:divBdr>
        <w:top w:val="none" w:sz="0" w:space="0" w:color="auto"/>
        <w:left w:val="none" w:sz="0" w:space="0" w:color="auto"/>
        <w:bottom w:val="none" w:sz="0" w:space="0" w:color="auto"/>
        <w:right w:val="none" w:sz="0" w:space="0" w:color="auto"/>
      </w:divBdr>
      <w:divsChild>
        <w:div w:id="658923206">
          <w:marLeft w:val="0"/>
          <w:marRight w:val="0"/>
          <w:marTop w:val="0"/>
          <w:marBottom w:val="0"/>
          <w:divBdr>
            <w:top w:val="none" w:sz="0" w:space="0" w:color="auto"/>
            <w:left w:val="none" w:sz="0" w:space="0" w:color="auto"/>
            <w:bottom w:val="none" w:sz="0" w:space="0" w:color="auto"/>
            <w:right w:val="none" w:sz="0" w:space="0" w:color="auto"/>
          </w:divBdr>
          <w:divsChild>
            <w:div w:id="377516061">
              <w:marLeft w:val="0"/>
              <w:marRight w:val="0"/>
              <w:marTop w:val="0"/>
              <w:marBottom w:val="0"/>
              <w:divBdr>
                <w:top w:val="none" w:sz="0" w:space="0" w:color="auto"/>
                <w:left w:val="none" w:sz="0" w:space="0" w:color="auto"/>
                <w:bottom w:val="none" w:sz="0" w:space="0" w:color="auto"/>
                <w:right w:val="none" w:sz="0" w:space="0" w:color="auto"/>
              </w:divBdr>
              <w:divsChild>
                <w:div w:id="50987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615129">
      <w:bodyDiv w:val="1"/>
      <w:marLeft w:val="0"/>
      <w:marRight w:val="0"/>
      <w:marTop w:val="0"/>
      <w:marBottom w:val="0"/>
      <w:divBdr>
        <w:top w:val="none" w:sz="0" w:space="0" w:color="auto"/>
        <w:left w:val="none" w:sz="0" w:space="0" w:color="auto"/>
        <w:bottom w:val="none" w:sz="0" w:space="0" w:color="auto"/>
        <w:right w:val="none" w:sz="0" w:space="0" w:color="auto"/>
      </w:divBdr>
      <w:divsChild>
        <w:div w:id="19091198">
          <w:marLeft w:val="0"/>
          <w:marRight w:val="0"/>
          <w:marTop w:val="0"/>
          <w:marBottom w:val="0"/>
          <w:divBdr>
            <w:top w:val="none" w:sz="0" w:space="0" w:color="auto"/>
            <w:left w:val="none" w:sz="0" w:space="0" w:color="auto"/>
            <w:bottom w:val="none" w:sz="0" w:space="0" w:color="auto"/>
            <w:right w:val="none" w:sz="0" w:space="0" w:color="auto"/>
          </w:divBdr>
          <w:divsChild>
            <w:div w:id="615716959">
              <w:marLeft w:val="0"/>
              <w:marRight w:val="0"/>
              <w:marTop w:val="0"/>
              <w:marBottom w:val="0"/>
              <w:divBdr>
                <w:top w:val="none" w:sz="0" w:space="0" w:color="auto"/>
                <w:left w:val="none" w:sz="0" w:space="0" w:color="auto"/>
                <w:bottom w:val="none" w:sz="0" w:space="0" w:color="auto"/>
                <w:right w:val="none" w:sz="0" w:space="0" w:color="auto"/>
              </w:divBdr>
              <w:divsChild>
                <w:div w:id="189250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799501">
      <w:bodyDiv w:val="1"/>
      <w:marLeft w:val="0"/>
      <w:marRight w:val="0"/>
      <w:marTop w:val="0"/>
      <w:marBottom w:val="0"/>
      <w:divBdr>
        <w:top w:val="none" w:sz="0" w:space="0" w:color="auto"/>
        <w:left w:val="none" w:sz="0" w:space="0" w:color="auto"/>
        <w:bottom w:val="none" w:sz="0" w:space="0" w:color="auto"/>
        <w:right w:val="none" w:sz="0" w:space="0" w:color="auto"/>
      </w:divBdr>
    </w:div>
    <w:div w:id="564881190">
      <w:bodyDiv w:val="1"/>
      <w:marLeft w:val="0"/>
      <w:marRight w:val="0"/>
      <w:marTop w:val="0"/>
      <w:marBottom w:val="0"/>
      <w:divBdr>
        <w:top w:val="none" w:sz="0" w:space="0" w:color="auto"/>
        <w:left w:val="none" w:sz="0" w:space="0" w:color="auto"/>
        <w:bottom w:val="none" w:sz="0" w:space="0" w:color="auto"/>
        <w:right w:val="none" w:sz="0" w:space="0" w:color="auto"/>
      </w:divBdr>
      <w:divsChild>
        <w:div w:id="1658923268">
          <w:marLeft w:val="0"/>
          <w:marRight w:val="0"/>
          <w:marTop w:val="0"/>
          <w:marBottom w:val="0"/>
          <w:divBdr>
            <w:top w:val="none" w:sz="0" w:space="0" w:color="auto"/>
            <w:left w:val="none" w:sz="0" w:space="0" w:color="auto"/>
            <w:bottom w:val="none" w:sz="0" w:space="0" w:color="auto"/>
            <w:right w:val="none" w:sz="0" w:space="0" w:color="auto"/>
          </w:divBdr>
          <w:divsChild>
            <w:div w:id="1684552751">
              <w:marLeft w:val="0"/>
              <w:marRight w:val="0"/>
              <w:marTop w:val="0"/>
              <w:marBottom w:val="0"/>
              <w:divBdr>
                <w:top w:val="none" w:sz="0" w:space="0" w:color="auto"/>
                <w:left w:val="none" w:sz="0" w:space="0" w:color="auto"/>
                <w:bottom w:val="none" w:sz="0" w:space="0" w:color="auto"/>
                <w:right w:val="none" w:sz="0" w:space="0" w:color="auto"/>
              </w:divBdr>
              <w:divsChild>
                <w:div w:id="19926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281346">
      <w:bodyDiv w:val="1"/>
      <w:marLeft w:val="0"/>
      <w:marRight w:val="0"/>
      <w:marTop w:val="0"/>
      <w:marBottom w:val="0"/>
      <w:divBdr>
        <w:top w:val="none" w:sz="0" w:space="0" w:color="auto"/>
        <w:left w:val="none" w:sz="0" w:space="0" w:color="auto"/>
        <w:bottom w:val="none" w:sz="0" w:space="0" w:color="auto"/>
        <w:right w:val="none" w:sz="0" w:space="0" w:color="auto"/>
      </w:divBdr>
      <w:divsChild>
        <w:div w:id="1900556609">
          <w:marLeft w:val="0"/>
          <w:marRight w:val="0"/>
          <w:marTop w:val="0"/>
          <w:marBottom w:val="0"/>
          <w:divBdr>
            <w:top w:val="none" w:sz="0" w:space="0" w:color="auto"/>
            <w:left w:val="none" w:sz="0" w:space="0" w:color="auto"/>
            <w:bottom w:val="none" w:sz="0" w:space="0" w:color="auto"/>
            <w:right w:val="none" w:sz="0" w:space="0" w:color="auto"/>
          </w:divBdr>
          <w:divsChild>
            <w:div w:id="197279795">
              <w:marLeft w:val="0"/>
              <w:marRight w:val="0"/>
              <w:marTop w:val="0"/>
              <w:marBottom w:val="0"/>
              <w:divBdr>
                <w:top w:val="none" w:sz="0" w:space="0" w:color="auto"/>
                <w:left w:val="none" w:sz="0" w:space="0" w:color="auto"/>
                <w:bottom w:val="none" w:sz="0" w:space="0" w:color="auto"/>
                <w:right w:val="none" w:sz="0" w:space="0" w:color="auto"/>
              </w:divBdr>
              <w:divsChild>
                <w:div w:id="22822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535161">
      <w:bodyDiv w:val="1"/>
      <w:marLeft w:val="0"/>
      <w:marRight w:val="0"/>
      <w:marTop w:val="0"/>
      <w:marBottom w:val="0"/>
      <w:divBdr>
        <w:top w:val="none" w:sz="0" w:space="0" w:color="auto"/>
        <w:left w:val="none" w:sz="0" w:space="0" w:color="auto"/>
        <w:bottom w:val="none" w:sz="0" w:space="0" w:color="auto"/>
        <w:right w:val="none" w:sz="0" w:space="0" w:color="auto"/>
      </w:divBdr>
      <w:divsChild>
        <w:div w:id="458188361">
          <w:marLeft w:val="0"/>
          <w:marRight w:val="0"/>
          <w:marTop w:val="0"/>
          <w:marBottom w:val="0"/>
          <w:divBdr>
            <w:top w:val="none" w:sz="0" w:space="0" w:color="auto"/>
            <w:left w:val="none" w:sz="0" w:space="0" w:color="auto"/>
            <w:bottom w:val="none" w:sz="0" w:space="0" w:color="auto"/>
            <w:right w:val="none" w:sz="0" w:space="0" w:color="auto"/>
          </w:divBdr>
          <w:divsChild>
            <w:div w:id="1009330624">
              <w:marLeft w:val="0"/>
              <w:marRight w:val="0"/>
              <w:marTop w:val="0"/>
              <w:marBottom w:val="0"/>
              <w:divBdr>
                <w:top w:val="none" w:sz="0" w:space="0" w:color="auto"/>
                <w:left w:val="none" w:sz="0" w:space="0" w:color="auto"/>
                <w:bottom w:val="none" w:sz="0" w:space="0" w:color="auto"/>
                <w:right w:val="none" w:sz="0" w:space="0" w:color="auto"/>
              </w:divBdr>
              <w:divsChild>
                <w:div w:id="32578190">
                  <w:marLeft w:val="0"/>
                  <w:marRight w:val="0"/>
                  <w:marTop w:val="0"/>
                  <w:marBottom w:val="0"/>
                  <w:divBdr>
                    <w:top w:val="none" w:sz="0" w:space="0" w:color="auto"/>
                    <w:left w:val="none" w:sz="0" w:space="0" w:color="auto"/>
                    <w:bottom w:val="none" w:sz="0" w:space="0" w:color="auto"/>
                    <w:right w:val="none" w:sz="0" w:space="0" w:color="auto"/>
                  </w:divBdr>
                </w:div>
              </w:divsChild>
            </w:div>
            <w:div w:id="1802377462">
              <w:marLeft w:val="0"/>
              <w:marRight w:val="0"/>
              <w:marTop w:val="0"/>
              <w:marBottom w:val="0"/>
              <w:divBdr>
                <w:top w:val="none" w:sz="0" w:space="0" w:color="auto"/>
                <w:left w:val="none" w:sz="0" w:space="0" w:color="auto"/>
                <w:bottom w:val="none" w:sz="0" w:space="0" w:color="auto"/>
                <w:right w:val="none" w:sz="0" w:space="0" w:color="auto"/>
              </w:divBdr>
              <w:divsChild>
                <w:div w:id="1298756537">
                  <w:marLeft w:val="0"/>
                  <w:marRight w:val="0"/>
                  <w:marTop w:val="0"/>
                  <w:marBottom w:val="0"/>
                  <w:divBdr>
                    <w:top w:val="none" w:sz="0" w:space="0" w:color="auto"/>
                    <w:left w:val="none" w:sz="0" w:space="0" w:color="auto"/>
                    <w:bottom w:val="none" w:sz="0" w:space="0" w:color="auto"/>
                    <w:right w:val="none" w:sz="0" w:space="0" w:color="auto"/>
                  </w:divBdr>
                </w:div>
                <w:div w:id="715083100">
                  <w:marLeft w:val="0"/>
                  <w:marRight w:val="0"/>
                  <w:marTop w:val="0"/>
                  <w:marBottom w:val="0"/>
                  <w:divBdr>
                    <w:top w:val="none" w:sz="0" w:space="0" w:color="auto"/>
                    <w:left w:val="none" w:sz="0" w:space="0" w:color="auto"/>
                    <w:bottom w:val="none" w:sz="0" w:space="0" w:color="auto"/>
                    <w:right w:val="none" w:sz="0" w:space="0" w:color="auto"/>
                  </w:divBdr>
                </w:div>
              </w:divsChild>
            </w:div>
            <w:div w:id="1589582140">
              <w:marLeft w:val="0"/>
              <w:marRight w:val="0"/>
              <w:marTop w:val="0"/>
              <w:marBottom w:val="0"/>
              <w:divBdr>
                <w:top w:val="none" w:sz="0" w:space="0" w:color="auto"/>
                <w:left w:val="none" w:sz="0" w:space="0" w:color="auto"/>
                <w:bottom w:val="none" w:sz="0" w:space="0" w:color="auto"/>
                <w:right w:val="none" w:sz="0" w:space="0" w:color="auto"/>
              </w:divBdr>
              <w:divsChild>
                <w:div w:id="930819481">
                  <w:marLeft w:val="0"/>
                  <w:marRight w:val="0"/>
                  <w:marTop w:val="0"/>
                  <w:marBottom w:val="0"/>
                  <w:divBdr>
                    <w:top w:val="none" w:sz="0" w:space="0" w:color="auto"/>
                    <w:left w:val="none" w:sz="0" w:space="0" w:color="auto"/>
                    <w:bottom w:val="none" w:sz="0" w:space="0" w:color="auto"/>
                    <w:right w:val="none" w:sz="0" w:space="0" w:color="auto"/>
                  </w:divBdr>
                </w:div>
              </w:divsChild>
            </w:div>
            <w:div w:id="820121532">
              <w:marLeft w:val="0"/>
              <w:marRight w:val="0"/>
              <w:marTop w:val="0"/>
              <w:marBottom w:val="0"/>
              <w:divBdr>
                <w:top w:val="none" w:sz="0" w:space="0" w:color="auto"/>
                <w:left w:val="none" w:sz="0" w:space="0" w:color="auto"/>
                <w:bottom w:val="none" w:sz="0" w:space="0" w:color="auto"/>
                <w:right w:val="none" w:sz="0" w:space="0" w:color="auto"/>
              </w:divBdr>
              <w:divsChild>
                <w:div w:id="81298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899517">
      <w:bodyDiv w:val="1"/>
      <w:marLeft w:val="0"/>
      <w:marRight w:val="0"/>
      <w:marTop w:val="0"/>
      <w:marBottom w:val="0"/>
      <w:divBdr>
        <w:top w:val="none" w:sz="0" w:space="0" w:color="auto"/>
        <w:left w:val="none" w:sz="0" w:space="0" w:color="auto"/>
        <w:bottom w:val="none" w:sz="0" w:space="0" w:color="auto"/>
        <w:right w:val="none" w:sz="0" w:space="0" w:color="auto"/>
      </w:divBdr>
    </w:div>
    <w:div w:id="1427773739">
      <w:bodyDiv w:val="1"/>
      <w:marLeft w:val="0"/>
      <w:marRight w:val="0"/>
      <w:marTop w:val="0"/>
      <w:marBottom w:val="0"/>
      <w:divBdr>
        <w:top w:val="none" w:sz="0" w:space="0" w:color="auto"/>
        <w:left w:val="none" w:sz="0" w:space="0" w:color="auto"/>
        <w:bottom w:val="none" w:sz="0" w:space="0" w:color="auto"/>
        <w:right w:val="none" w:sz="0" w:space="0" w:color="auto"/>
      </w:divBdr>
      <w:divsChild>
        <w:div w:id="1681009646">
          <w:marLeft w:val="0"/>
          <w:marRight w:val="0"/>
          <w:marTop w:val="0"/>
          <w:marBottom w:val="0"/>
          <w:divBdr>
            <w:top w:val="none" w:sz="0" w:space="0" w:color="auto"/>
            <w:left w:val="none" w:sz="0" w:space="0" w:color="auto"/>
            <w:bottom w:val="none" w:sz="0" w:space="0" w:color="auto"/>
            <w:right w:val="none" w:sz="0" w:space="0" w:color="auto"/>
          </w:divBdr>
          <w:divsChild>
            <w:div w:id="1306201558">
              <w:marLeft w:val="0"/>
              <w:marRight w:val="0"/>
              <w:marTop w:val="0"/>
              <w:marBottom w:val="0"/>
              <w:divBdr>
                <w:top w:val="none" w:sz="0" w:space="0" w:color="auto"/>
                <w:left w:val="none" w:sz="0" w:space="0" w:color="auto"/>
                <w:bottom w:val="none" w:sz="0" w:space="0" w:color="auto"/>
                <w:right w:val="none" w:sz="0" w:space="0" w:color="auto"/>
              </w:divBdr>
              <w:divsChild>
                <w:div w:id="78173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82028">
      <w:bodyDiv w:val="1"/>
      <w:marLeft w:val="0"/>
      <w:marRight w:val="0"/>
      <w:marTop w:val="0"/>
      <w:marBottom w:val="0"/>
      <w:divBdr>
        <w:top w:val="none" w:sz="0" w:space="0" w:color="auto"/>
        <w:left w:val="none" w:sz="0" w:space="0" w:color="auto"/>
        <w:bottom w:val="none" w:sz="0" w:space="0" w:color="auto"/>
        <w:right w:val="none" w:sz="0" w:space="0" w:color="auto"/>
      </w:divBdr>
    </w:div>
    <w:div w:id="1506434515">
      <w:bodyDiv w:val="1"/>
      <w:marLeft w:val="0"/>
      <w:marRight w:val="0"/>
      <w:marTop w:val="0"/>
      <w:marBottom w:val="0"/>
      <w:divBdr>
        <w:top w:val="none" w:sz="0" w:space="0" w:color="auto"/>
        <w:left w:val="none" w:sz="0" w:space="0" w:color="auto"/>
        <w:bottom w:val="none" w:sz="0" w:space="0" w:color="auto"/>
        <w:right w:val="none" w:sz="0" w:space="0" w:color="auto"/>
      </w:divBdr>
    </w:div>
    <w:div w:id="1679575965">
      <w:bodyDiv w:val="1"/>
      <w:marLeft w:val="0"/>
      <w:marRight w:val="0"/>
      <w:marTop w:val="0"/>
      <w:marBottom w:val="0"/>
      <w:divBdr>
        <w:top w:val="none" w:sz="0" w:space="0" w:color="auto"/>
        <w:left w:val="none" w:sz="0" w:space="0" w:color="auto"/>
        <w:bottom w:val="none" w:sz="0" w:space="0" w:color="auto"/>
        <w:right w:val="none" w:sz="0" w:space="0" w:color="auto"/>
      </w:divBdr>
    </w:div>
    <w:div w:id="210129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vicenne@ulysse-communication.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vestors@advicenne.co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consilium-comm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1EE7C-19C5-46A2-A919-52562177C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2280</Words>
  <Characters>12542</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Arabian</dc:creator>
  <cp:keywords/>
  <dc:description/>
  <cp:lastModifiedBy>Isabelle KERVELLA</cp:lastModifiedBy>
  <cp:revision>3</cp:revision>
  <cp:lastPrinted>2021-09-28T10:18:00Z</cp:lastPrinted>
  <dcterms:created xsi:type="dcterms:W3CDTF">2023-03-30T15:53:00Z</dcterms:created>
  <dcterms:modified xsi:type="dcterms:W3CDTF">2023-03-30T16:00:00Z</dcterms:modified>
</cp:coreProperties>
</file>